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2D7CB" w14:textId="77777777" w:rsidR="00483838" w:rsidRDefault="00483838" w:rsidP="00483838">
      <w:pPr>
        <w:jc w:val="center"/>
      </w:pPr>
    </w:p>
    <w:p w14:paraId="624D690D" w14:textId="77777777" w:rsidR="00483838" w:rsidRDefault="00483838" w:rsidP="00B454A0"/>
    <w:p w14:paraId="4EC3FD8D" w14:textId="77777777" w:rsidR="00483838" w:rsidRDefault="00483838" w:rsidP="00483838">
      <w:pPr>
        <w:pBdr>
          <w:top w:val="single" w:sz="4" w:space="1" w:color="auto"/>
          <w:left w:val="single" w:sz="4" w:space="4" w:color="auto"/>
          <w:bottom w:val="single" w:sz="4" w:space="1" w:color="auto"/>
          <w:right w:val="single" w:sz="4" w:space="4" w:color="auto"/>
        </w:pBdr>
      </w:pPr>
      <w:r>
        <w:t xml:space="preserve">This document serves to provide NAMA members with industry participant resources related to derivatives and information related to the regulatory framework over professionals advising on these types of transactions.  As further resources are gathered as well as developed, they will be posted on this document.   </w:t>
      </w:r>
    </w:p>
    <w:p w14:paraId="4FE2DE4B" w14:textId="77777777" w:rsidR="00483838" w:rsidRDefault="00483838" w:rsidP="00483838">
      <w:pPr>
        <w:pBdr>
          <w:top w:val="single" w:sz="4" w:space="1" w:color="auto"/>
          <w:left w:val="single" w:sz="4" w:space="4" w:color="auto"/>
          <w:bottom w:val="single" w:sz="4" w:space="1" w:color="auto"/>
          <w:right w:val="single" w:sz="4" w:space="4" w:color="auto"/>
        </w:pBdr>
      </w:pPr>
    </w:p>
    <w:p w14:paraId="4D76B571" w14:textId="77777777" w:rsidR="00B454A0" w:rsidRDefault="00483838" w:rsidP="00483838">
      <w:pPr>
        <w:pBdr>
          <w:top w:val="single" w:sz="4" w:space="1" w:color="auto"/>
          <w:left w:val="single" w:sz="4" w:space="4" w:color="auto"/>
          <w:bottom w:val="single" w:sz="4" w:space="1" w:color="auto"/>
          <w:right w:val="single" w:sz="4" w:space="4" w:color="auto"/>
        </w:pBdr>
      </w:pPr>
      <w:r>
        <w:t>This document should not be viewed as providing legal advice nor should be used to determine your specific regulatory responsibilities.</w:t>
      </w:r>
    </w:p>
    <w:p w14:paraId="5E1B93DB" w14:textId="77777777" w:rsidR="00483838" w:rsidRDefault="00483838" w:rsidP="00B454A0"/>
    <w:p w14:paraId="6304104C" w14:textId="77777777" w:rsidR="00B454A0" w:rsidRDefault="00B454A0" w:rsidP="00B454A0"/>
    <w:p w14:paraId="2DF22859" w14:textId="77777777" w:rsidR="00483838" w:rsidRDefault="00483838" w:rsidP="00B454A0"/>
    <w:p w14:paraId="3E02B806" w14:textId="77777777" w:rsidR="00B454A0" w:rsidRPr="00887032" w:rsidRDefault="00B454A0" w:rsidP="00B454A0">
      <w:pPr>
        <w:rPr>
          <w:b/>
        </w:rPr>
      </w:pPr>
      <w:r w:rsidRPr="00887032">
        <w:rPr>
          <w:b/>
        </w:rPr>
        <w:t>REGULATIONS</w:t>
      </w:r>
    </w:p>
    <w:p w14:paraId="095A81EB" w14:textId="77777777" w:rsidR="00B454A0" w:rsidRPr="00B454A0" w:rsidRDefault="00B454A0" w:rsidP="00B454A0"/>
    <w:p w14:paraId="7036CFA3" w14:textId="77777777" w:rsidR="00B454A0" w:rsidRDefault="00B454A0" w:rsidP="00B454A0">
      <w:pPr>
        <w:numPr>
          <w:ilvl w:val="0"/>
          <w:numId w:val="1"/>
        </w:numPr>
      </w:pPr>
      <w:r>
        <w:t>SEC: Municipal Advisor Web Page</w:t>
      </w:r>
    </w:p>
    <w:p w14:paraId="6DCED009" w14:textId="77777777" w:rsidR="00C40872" w:rsidRPr="00FB2498" w:rsidRDefault="00C40872" w:rsidP="00C40872">
      <w:pPr>
        <w:ind w:firstLine="720"/>
        <w:rPr>
          <w:sz w:val="16"/>
          <w:szCs w:val="16"/>
        </w:rPr>
      </w:pPr>
      <w:hyperlink r:id="rId7" w:history="1">
        <w:r w:rsidRPr="00FB2498">
          <w:rPr>
            <w:rStyle w:val="Hyperlink"/>
            <w:sz w:val="16"/>
            <w:szCs w:val="16"/>
          </w:rPr>
          <w:t>https://</w:t>
        </w:r>
      </w:hyperlink>
      <w:hyperlink r:id="rId8" w:history="1">
        <w:r w:rsidRPr="00FB2498">
          <w:rPr>
            <w:rStyle w:val="Hyperlink"/>
            <w:sz w:val="16"/>
            <w:szCs w:val="16"/>
          </w:rPr>
          <w:t>www.sec.gov/municipal/municipal-advisors.html</w:t>
        </w:r>
      </w:hyperlink>
    </w:p>
    <w:p w14:paraId="32B53C15" w14:textId="77777777" w:rsidR="00C40872" w:rsidRPr="00B454A0" w:rsidRDefault="00C40872" w:rsidP="00C40872">
      <w:pPr>
        <w:ind w:left="360"/>
      </w:pPr>
    </w:p>
    <w:p w14:paraId="4BD35D77" w14:textId="77777777" w:rsidR="00C40872" w:rsidRDefault="00535CF4" w:rsidP="00C40872">
      <w:pPr>
        <w:numPr>
          <w:ilvl w:val="0"/>
          <w:numId w:val="1"/>
        </w:numPr>
      </w:pPr>
      <w:r w:rsidRPr="00B454A0">
        <w:t>SEC MA Rule FAQ (see 4.1</w:t>
      </w:r>
      <w:r w:rsidR="00B454A0">
        <w:t xml:space="preserve"> related to swaps</w:t>
      </w:r>
      <w:r w:rsidRPr="00B454A0">
        <w:t xml:space="preserve">) </w:t>
      </w:r>
    </w:p>
    <w:p w14:paraId="0E41FFAC" w14:textId="06B57CB8" w:rsidR="00705109" w:rsidRDefault="001162D2" w:rsidP="00C40872">
      <w:pPr>
        <w:ind w:firstLine="720"/>
        <w:rPr>
          <w:rStyle w:val="Hyperlink"/>
          <w:sz w:val="16"/>
          <w:szCs w:val="16"/>
        </w:rPr>
      </w:pPr>
      <w:hyperlink r:id="rId9" w:history="1">
        <w:r w:rsidR="00535CF4" w:rsidRPr="00C40872">
          <w:rPr>
            <w:rStyle w:val="Hyperlink"/>
            <w:sz w:val="16"/>
            <w:szCs w:val="16"/>
          </w:rPr>
          <w:t>https://</w:t>
        </w:r>
      </w:hyperlink>
      <w:hyperlink r:id="rId10" w:history="1">
        <w:r w:rsidR="00535CF4" w:rsidRPr="00C40872">
          <w:rPr>
            <w:rStyle w:val="Hyperlink"/>
            <w:sz w:val="16"/>
            <w:szCs w:val="16"/>
          </w:rPr>
          <w:t>www.sec.gov/info/municipal/mun-advisors-faqs.pdf</w:t>
        </w:r>
      </w:hyperlink>
    </w:p>
    <w:p w14:paraId="7B7E5430" w14:textId="77777777" w:rsidR="00C40872" w:rsidRPr="00C40872" w:rsidRDefault="00C40872" w:rsidP="00C40872">
      <w:pPr>
        <w:ind w:firstLine="720"/>
      </w:pPr>
    </w:p>
    <w:p w14:paraId="14FA2F03" w14:textId="77777777" w:rsidR="004761C3" w:rsidRDefault="00535CF4" w:rsidP="00B454A0">
      <w:pPr>
        <w:numPr>
          <w:ilvl w:val="0"/>
          <w:numId w:val="1"/>
        </w:numPr>
      </w:pPr>
      <w:r w:rsidRPr="00B454A0">
        <w:t>CFTC Staff Advisory Concerning Trading Advisors and Sw</w:t>
      </w:r>
      <w:r w:rsidR="00B454A0">
        <w:t>a</w:t>
      </w:r>
      <w:r w:rsidRPr="00B454A0">
        <w:t>ps</w:t>
      </w:r>
      <w:r w:rsidR="00483838">
        <w:t xml:space="preserve"> (see especially Section III)</w:t>
      </w:r>
    </w:p>
    <w:p w14:paraId="5CEA3FE5" w14:textId="77777777" w:rsidR="00483838" w:rsidRDefault="001162D2" w:rsidP="00C40872">
      <w:pPr>
        <w:ind w:firstLine="720"/>
        <w:rPr>
          <w:rStyle w:val="Hyperlink"/>
          <w:sz w:val="16"/>
          <w:szCs w:val="16"/>
        </w:rPr>
      </w:pPr>
      <w:hyperlink r:id="rId11" w:history="1">
        <w:r w:rsidR="00483838" w:rsidRPr="00FB2498">
          <w:rPr>
            <w:rStyle w:val="Hyperlink"/>
            <w:sz w:val="16"/>
            <w:szCs w:val="16"/>
          </w:rPr>
          <w:t>https://www.cftc.gov/sites/default/files/idc/groups/public/@lrlettergeneral/documents/letter/13-79.pdf</w:t>
        </w:r>
      </w:hyperlink>
    </w:p>
    <w:p w14:paraId="3870C23B" w14:textId="77777777" w:rsidR="00C40872" w:rsidRPr="00FB2498" w:rsidRDefault="00C40872" w:rsidP="00C40872">
      <w:pPr>
        <w:ind w:firstLine="720"/>
        <w:rPr>
          <w:sz w:val="16"/>
          <w:szCs w:val="16"/>
        </w:rPr>
      </w:pPr>
    </w:p>
    <w:p w14:paraId="58D81099" w14:textId="5A270318" w:rsidR="00C40872" w:rsidRDefault="004761C3" w:rsidP="00C40872">
      <w:pPr>
        <w:numPr>
          <w:ilvl w:val="0"/>
          <w:numId w:val="1"/>
        </w:numPr>
      </w:pPr>
      <w:r>
        <w:t>CFTC Business Conduct Standards for Swap Dealers and Major Swap Participants with Counterparties (see page 9739)</w:t>
      </w:r>
    </w:p>
    <w:p w14:paraId="64A8C085" w14:textId="77777777" w:rsidR="004761C3" w:rsidRDefault="001162D2" w:rsidP="00C40872">
      <w:pPr>
        <w:ind w:firstLine="720"/>
        <w:rPr>
          <w:rStyle w:val="Hyperlink"/>
          <w:rFonts w:ascii="Calibri" w:eastAsia="Times New Roman" w:hAnsi="Calibri"/>
          <w:sz w:val="16"/>
          <w:szCs w:val="16"/>
        </w:rPr>
      </w:pPr>
      <w:hyperlink r:id="rId12" w:history="1">
        <w:r w:rsidR="004761C3" w:rsidRPr="00FB2498">
          <w:rPr>
            <w:rStyle w:val="Hyperlink"/>
            <w:rFonts w:ascii="Calibri" w:eastAsia="Times New Roman" w:hAnsi="Calibri"/>
            <w:sz w:val="16"/>
            <w:szCs w:val="16"/>
          </w:rPr>
          <w:t>https://www.cftc.gov/sites/default/files/idc/groups/public/@lrfederalregister/documents/file/2012-1244a.pdf</w:t>
        </w:r>
      </w:hyperlink>
    </w:p>
    <w:p w14:paraId="25AE95B3" w14:textId="77777777" w:rsidR="00C40872" w:rsidRPr="00FB2498" w:rsidRDefault="00C40872" w:rsidP="00C40872">
      <w:pPr>
        <w:ind w:firstLine="720"/>
        <w:rPr>
          <w:sz w:val="16"/>
          <w:szCs w:val="16"/>
        </w:rPr>
      </w:pPr>
    </w:p>
    <w:p w14:paraId="734AA72D" w14:textId="023C5B20" w:rsidR="00B743BD" w:rsidRPr="00887032" w:rsidRDefault="00B743BD" w:rsidP="00B743BD">
      <w:pPr>
        <w:numPr>
          <w:ilvl w:val="0"/>
          <w:numId w:val="1"/>
        </w:numPr>
      </w:pPr>
      <w:r>
        <w:rPr>
          <w:rFonts w:ascii="Calibri" w:eastAsia="Times New Roman" w:hAnsi="Calibri"/>
          <w:sz w:val="22"/>
          <w:szCs w:val="22"/>
        </w:rPr>
        <w:t>MSRB Rule G-42</w:t>
      </w:r>
      <w:r w:rsidR="002E1CDF">
        <w:rPr>
          <w:rFonts w:ascii="Calibri" w:eastAsia="Times New Roman" w:hAnsi="Calibri"/>
          <w:sz w:val="22"/>
          <w:szCs w:val="22"/>
        </w:rPr>
        <w:t xml:space="preserve"> (</w:t>
      </w:r>
      <w:r w:rsidR="00887032">
        <w:rPr>
          <w:rFonts w:ascii="Calibri" w:eastAsia="Times New Roman" w:hAnsi="Calibri"/>
          <w:sz w:val="22"/>
          <w:szCs w:val="22"/>
        </w:rPr>
        <w:t xml:space="preserve">see </w:t>
      </w:r>
      <w:r w:rsidR="002E1CDF">
        <w:rPr>
          <w:rFonts w:ascii="Calibri" w:eastAsia="Times New Roman" w:hAnsi="Calibri"/>
          <w:sz w:val="22"/>
          <w:szCs w:val="22"/>
        </w:rPr>
        <w:t xml:space="preserve">especially </w:t>
      </w:r>
      <w:r w:rsidR="00887032">
        <w:rPr>
          <w:rFonts w:ascii="Calibri" w:eastAsia="Times New Roman" w:hAnsi="Calibri"/>
          <w:sz w:val="22"/>
          <w:szCs w:val="22"/>
        </w:rPr>
        <w:t xml:space="preserve">.1, </w:t>
      </w:r>
      <w:r w:rsidR="002E1CDF">
        <w:rPr>
          <w:rFonts w:ascii="Calibri" w:eastAsia="Times New Roman" w:hAnsi="Calibri"/>
          <w:sz w:val="22"/>
          <w:szCs w:val="22"/>
        </w:rPr>
        <w:t>.9 and .10</w:t>
      </w:r>
      <w:r w:rsidR="00887032">
        <w:rPr>
          <w:rFonts w:ascii="Calibri" w:eastAsia="Times New Roman" w:hAnsi="Calibri"/>
          <w:sz w:val="22"/>
          <w:szCs w:val="22"/>
        </w:rPr>
        <w:t xml:space="preserve"> in the Supplementary Materials Section)</w:t>
      </w:r>
    </w:p>
    <w:p w14:paraId="60809392" w14:textId="0C896EA5" w:rsidR="00887032" w:rsidRPr="00FB2498" w:rsidRDefault="001162D2" w:rsidP="00C40872">
      <w:pPr>
        <w:ind w:firstLine="720"/>
        <w:rPr>
          <w:sz w:val="16"/>
          <w:szCs w:val="16"/>
        </w:rPr>
      </w:pPr>
      <w:hyperlink r:id="rId13" w:history="1">
        <w:r w:rsidR="00887032" w:rsidRPr="00FB2498">
          <w:rPr>
            <w:rStyle w:val="Hyperlink"/>
            <w:sz w:val="16"/>
            <w:szCs w:val="16"/>
          </w:rPr>
          <w:t>http://msrb.org/Rules-and-Interpretations/MSRB-Rules/General/Rule-G-42.aspx</w:t>
        </w:r>
      </w:hyperlink>
    </w:p>
    <w:p w14:paraId="0A08C47E" w14:textId="77777777" w:rsidR="00887032" w:rsidRDefault="00887032" w:rsidP="00887032">
      <w:pPr>
        <w:ind w:left="720"/>
      </w:pPr>
    </w:p>
    <w:p w14:paraId="3290F0B4" w14:textId="77777777" w:rsidR="00483838" w:rsidRDefault="00483838"/>
    <w:p w14:paraId="7D6EF9EF" w14:textId="77777777" w:rsidR="00483838" w:rsidRPr="00887032" w:rsidRDefault="00483838" w:rsidP="00483838">
      <w:pPr>
        <w:rPr>
          <w:b/>
        </w:rPr>
      </w:pPr>
      <w:r w:rsidRPr="00887032">
        <w:rPr>
          <w:b/>
        </w:rPr>
        <w:t>GENERAL</w:t>
      </w:r>
    </w:p>
    <w:p w14:paraId="25775025" w14:textId="77777777" w:rsidR="00483838" w:rsidRDefault="00483838" w:rsidP="00483838"/>
    <w:p w14:paraId="6D4A5AE7" w14:textId="77777777" w:rsidR="00483838" w:rsidRPr="00B454A0" w:rsidRDefault="00483838" w:rsidP="00483838">
      <w:pPr>
        <w:numPr>
          <w:ilvl w:val="0"/>
          <w:numId w:val="1"/>
        </w:numPr>
      </w:pPr>
      <w:r w:rsidRPr="00B454A0">
        <w:t>GFOA Advisory:  Debt Related Derivatives</w:t>
      </w:r>
    </w:p>
    <w:p w14:paraId="588E4A5A" w14:textId="77777777" w:rsidR="00483838" w:rsidRPr="00C40872" w:rsidRDefault="001162D2" w:rsidP="00C40872">
      <w:pPr>
        <w:ind w:firstLine="720"/>
        <w:rPr>
          <w:rStyle w:val="Hyperlink"/>
          <w:color w:val="auto"/>
          <w:sz w:val="16"/>
          <w:szCs w:val="16"/>
          <w:u w:val="none"/>
        </w:rPr>
      </w:pPr>
      <w:hyperlink r:id="rId14" w:history="1">
        <w:r w:rsidR="00483838" w:rsidRPr="00FB2498">
          <w:rPr>
            <w:rStyle w:val="Hyperlink"/>
            <w:sz w:val="16"/>
            <w:szCs w:val="16"/>
          </w:rPr>
          <w:t>http://</w:t>
        </w:r>
      </w:hyperlink>
      <w:hyperlink r:id="rId15" w:history="1">
        <w:r w:rsidR="00483838" w:rsidRPr="00FB2498">
          <w:rPr>
            <w:rStyle w:val="Hyperlink"/>
            <w:sz w:val="16"/>
            <w:szCs w:val="16"/>
          </w:rPr>
          <w:t>www.gfoa.org/sites/default/files/ADV_Using%20Debt-Related%20Derivatives.pdf</w:t>
        </w:r>
      </w:hyperlink>
    </w:p>
    <w:p w14:paraId="35B1AFAC" w14:textId="77777777" w:rsidR="00C40872" w:rsidRPr="00FB2498" w:rsidRDefault="00C40872" w:rsidP="00C40872">
      <w:pPr>
        <w:ind w:left="1440"/>
        <w:rPr>
          <w:sz w:val="16"/>
          <w:szCs w:val="16"/>
        </w:rPr>
      </w:pPr>
    </w:p>
    <w:p w14:paraId="65C7310A" w14:textId="77777777" w:rsidR="00483838" w:rsidRPr="00B454A0" w:rsidRDefault="00483838" w:rsidP="00483838">
      <w:pPr>
        <w:numPr>
          <w:ilvl w:val="0"/>
          <w:numId w:val="1"/>
        </w:numPr>
      </w:pPr>
      <w:r w:rsidRPr="00B454A0">
        <w:t>GFOA MA Rule Resource Center for Issuers</w:t>
      </w:r>
    </w:p>
    <w:p w14:paraId="25B13E60" w14:textId="77777777" w:rsidR="00483838" w:rsidRDefault="001162D2" w:rsidP="00C563C5">
      <w:pPr>
        <w:ind w:firstLine="720"/>
        <w:rPr>
          <w:rStyle w:val="Hyperlink"/>
          <w:sz w:val="16"/>
          <w:szCs w:val="16"/>
        </w:rPr>
      </w:pPr>
      <w:hyperlink r:id="rId16" w:history="1">
        <w:r w:rsidR="00483838" w:rsidRPr="00C563C5">
          <w:rPr>
            <w:rStyle w:val="Hyperlink"/>
            <w:sz w:val="16"/>
            <w:szCs w:val="16"/>
          </w:rPr>
          <w:t>https://</w:t>
        </w:r>
      </w:hyperlink>
      <w:hyperlink r:id="rId17" w:history="1">
        <w:r w:rsidR="00483838" w:rsidRPr="00C563C5">
          <w:rPr>
            <w:rStyle w:val="Hyperlink"/>
            <w:sz w:val="16"/>
            <w:szCs w:val="16"/>
          </w:rPr>
          <w:t>www.gfoa.org/products-and-services/resources/federal-government-relations/municipal-advisor-ma-rule-resource</w:t>
        </w:r>
      </w:hyperlink>
    </w:p>
    <w:p w14:paraId="536EAD66" w14:textId="77777777" w:rsidR="00C563C5" w:rsidRPr="00C563C5" w:rsidRDefault="00C563C5" w:rsidP="00C563C5">
      <w:pPr>
        <w:ind w:firstLine="720"/>
        <w:rPr>
          <w:sz w:val="16"/>
          <w:szCs w:val="16"/>
        </w:rPr>
      </w:pPr>
      <w:bookmarkStart w:id="0" w:name="_GoBack"/>
      <w:bookmarkEnd w:id="0"/>
    </w:p>
    <w:p w14:paraId="1BB2B860" w14:textId="77777777" w:rsidR="00483838" w:rsidRPr="00B454A0" w:rsidRDefault="00483838" w:rsidP="00483838">
      <w:pPr>
        <w:numPr>
          <w:ilvl w:val="0"/>
          <w:numId w:val="1"/>
        </w:numPr>
      </w:pPr>
      <w:r w:rsidRPr="00B454A0">
        <w:t>NABL White Paper:  Ban on Tax Exempt Advance Refundings – Now What?</w:t>
      </w:r>
    </w:p>
    <w:p w14:paraId="32580A00" w14:textId="77777777" w:rsidR="00483838" w:rsidRPr="00C563C5" w:rsidRDefault="001162D2" w:rsidP="00C563C5">
      <w:pPr>
        <w:ind w:firstLine="720"/>
        <w:rPr>
          <w:sz w:val="16"/>
          <w:szCs w:val="16"/>
        </w:rPr>
      </w:pPr>
      <w:hyperlink r:id="rId18" w:history="1">
        <w:r w:rsidR="00483838" w:rsidRPr="00C563C5">
          <w:rPr>
            <w:rStyle w:val="Hyperlink"/>
            <w:sz w:val="16"/>
            <w:szCs w:val="16"/>
          </w:rPr>
          <w:t>https://</w:t>
        </w:r>
      </w:hyperlink>
      <w:hyperlink r:id="rId19" w:history="1">
        <w:r w:rsidR="00483838" w:rsidRPr="00C563C5">
          <w:rPr>
            <w:rStyle w:val="Hyperlink"/>
            <w:sz w:val="16"/>
            <w:szCs w:val="16"/>
          </w:rPr>
          <w:t>www.nabl.org/DesktopModules/Bring2mind/DMX/Download.aspx?portalid=0&amp;EntryId=1156</w:t>
        </w:r>
      </w:hyperlink>
    </w:p>
    <w:p w14:paraId="768474A5" w14:textId="77777777" w:rsidR="00483838" w:rsidRDefault="00483838" w:rsidP="00483838"/>
    <w:p w14:paraId="527BC531" w14:textId="77777777" w:rsidR="00483838" w:rsidRDefault="00483838"/>
    <w:sectPr w:rsidR="00483838" w:rsidSect="00BD768C">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F92FF" w14:textId="77777777" w:rsidR="001162D2" w:rsidRDefault="001162D2" w:rsidP="00483838">
      <w:r>
        <w:separator/>
      </w:r>
    </w:p>
  </w:endnote>
  <w:endnote w:type="continuationSeparator" w:id="0">
    <w:p w14:paraId="65E88D06" w14:textId="77777777" w:rsidR="001162D2" w:rsidRDefault="001162D2" w:rsidP="00483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420E8" w14:textId="77777777" w:rsidR="00483838" w:rsidRPr="00483838" w:rsidRDefault="00483838" w:rsidP="00483838">
    <w:pPr>
      <w:pStyle w:val="Footer"/>
      <w:jc w:val="right"/>
      <w:rPr>
        <w:sz w:val="16"/>
        <w:szCs w:val="16"/>
      </w:rPr>
    </w:pPr>
    <w:r>
      <w:rPr>
        <w:sz w:val="16"/>
        <w:szCs w:val="16"/>
      </w:rPr>
      <w:t>March 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445B7" w14:textId="77777777" w:rsidR="001162D2" w:rsidRDefault="001162D2" w:rsidP="00483838">
      <w:r>
        <w:separator/>
      </w:r>
    </w:p>
  </w:footnote>
  <w:footnote w:type="continuationSeparator" w:id="0">
    <w:p w14:paraId="21CAB38C" w14:textId="77777777" w:rsidR="001162D2" w:rsidRDefault="001162D2" w:rsidP="004838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E81F0" w14:textId="77777777" w:rsidR="00483838" w:rsidRDefault="00483838" w:rsidP="00483838">
    <w:pPr>
      <w:pStyle w:val="Header"/>
      <w:jc w:val="center"/>
    </w:pPr>
    <w:r w:rsidRPr="00483838">
      <w:rPr>
        <w:noProof/>
      </w:rPr>
      <w:drawing>
        <wp:inline distT="0" distB="0" distL="0" distR="0" wp14:anchorId="78A850AF" wp14:editId="6C2C4341">
          <wp:extent cx="2014855" cy="802640"/>
          <wp:effectExtent l="0" t="0" r="0" b="10160"/>
          <wp:docPr id="1"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4855" cy="80264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5F2F7E"/>
    <w:multiLevelType w:val="hybridMultilevel"/>
    <w:tmpl w:val="47E80A3C"/>
    <w:lvl w:ilvl="0" w:tplc="F370A5CC">
      <w:start w:val="1"/>
      <w:numFmt w:val="bullet"/>
      <w:lvlText w:val=""/>
      <w:lvlJc w:val="left"/>
      <w:pPr>
        <w:tabs>
          <w:tab w:val="num" w:pos="720"/>
        </w:tabs>
        <w:ind w:left="720" w:hanging="360"/>
      </w:pPr>
      <w:rPr>
        <w:rFonts w:ascii="Wingdings" w:hAnsi="Wingdings" w:hint="default"/>
      </w:rPr>
    </w:lvl>
    <w:lvl w:ilvl="1" w:tplc="332C70F0">
      <w:numFmt w:val="bullet"/>
      <w:lvlText w:val=""/>
      <w:lvlJc w:val="left"/>
      <w:pPr>
        <w:tabs>
          <w:tab w:val="num" w:pos="1440"/>
        </w:tabs>
        <w:ind w:left="1440" w:hanging="360"/>
      </w:pPr>
      <w:rPr>
        <w:rFonts w:ascii="Wingdings" w:hAnsi="Wingdings" w:hint="default"/>
      </w:rPr>
    </w:lvl>
    <w:lvl w:ilvl="2" w:tplc="3B244022" w:tentative="1">
      <w:start w:val="1"/>
      <w:numFmt w:val="bullet"/>
      <w:lvlText w:val=""/>
      <w:lvlJc w:val="left"/>
      <w:pPr>
        <w:tabs>
          <w:tab w:val="num" w:pos="2160"/>
        </w:tabs>
        <w:ind w:left="2160" w:hanging="360"/>
      </w:pPr>
      <w:rPr>
        <w:rFonts w:ascii="Wingdings" w:hAnsi="Wingdings" w:hint="default"/>
      </w:rPr>
    </w:lvl>
    <w:lvl w:ilvl="3" w:tplc="B6240F34" w:tentative="1">
      <w:start w:val="1"/>
      <w:numFmt w:val="bullet"/>
      <w:lvlText w:val=""/>
      <w:lvlJc w:val="left"/>
      <w:pPr>
        <w:tabs>
          <w:tab w:val="num" w:pos="2880"/>
        </w:tabs>
        <w:ind w:left="2880" w:hanging="360"/>
      </w:pPr>
      <w:rPr>
        <w:rFonts w:ascii="Wingdings" w:hAnsi="Wingdings" w:hint="default"/>
      </w:rPr>
    </w:lvl>
    <w:lvl w:ilvl="4" w:tplc="B6D80316" w:tentative="1">
      <w:start w:val="1"/>
      <w:numFmt w:val="bullet"/>
      <w:lvlText w:val=""/>
      <w:lvlJc w:val="left"/>
      <w:pPr>
        <w:tabs>
          <w:tab w:val="num" w:pos="3600"/>
        </w:tabs>
        <w:ind w:left="3600" w:hanging="360"/>
      </w:pPr>
      <w:rPr>
        <w:rFonts w:ascii="Wingdings" w:hAnsi="Wingdings" w:hint="default"/>
      </w:rPr>
    </w:lvl>
    <w:lvl w:ilvl="5" w:tplc="BC5A655C" w:tentative="1">
      <w:start w:val="1"/>
      <w:numFmt w:val="bullet"/>
      <w:lvlText w:val=""/>
      <w:lvlJc w:val="left"/>
      <w:pPr>
        <w:tabs>
          <w:tab w:val="num" w:pos="4320"/>
        </w:tabs>
        <w:ind w:left="4320" w:hanging="360"/>
      </w:pPr>
      <w:rPr>
        <w:rFonts w:ascii="Wingdings" w:hAnsi="Wingdings" w:hint="default"/>
      </w:rPr>
    </w:lvl>
    <w:lvl w:ilvl="6" w:tplc="E1865964" w:tentative="1">
      <w:start w:val="1"/>
      <w:numFmt w:val="bullet"/>
      <w:lvlText w:val=""/>
      <w:lvlJc w:val="left"/>
      <w:pPr>
        <w:tabs>
          <w:tab w:val="num" w:pos="5040"/>
        </w:tabs>
        <w:ind w:left="5040" w:hanging="360"/>
      </w:pPr>
      <w:rPr>
        <w:rFonts w:ascii="Wingdings" w:hAnsi="Wingdings" w:hint="default"/>
      </w:rPr>
    </w:lvl>
    <w:lvl w:ilvl="7" w:tplc="BDD8952C" w:tentative="1">
      <w:start w:val="1"/>
      <w:numFmt w:val="bullet"/>
      <w:lvlText w:val=""/>
      <w:lvlJc w:val="left"/>
      <w:pPr>
        <w:tabs>
          <w:tab w:val="num" w:pos="5760"/>
        </w:tabs>
        <w:ind w:left="5760" w:hanging="360"/>
      </w:pPr>
      <w:rPr>
        <w:rFonts w:ascii="Wingdings" w:hAnsi="Wingdings" w:hint="default"/>
      </w:rPr>
    </w:lvl>
    <w:lvl w:ilvl="8" w:tplc="424E1C4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4A0"/>
    <w:rsid w:val="001162D2"/>
    <w:rsid w:val="00283986"/>
    <w:rsid w:val="002E1CDF"/>
    <w:rsid w:val="003B40A4"/>
    <w:rsid w:val="004761C3"/>
    <w:rsid w:val="00483838"/>
    <w:rsid w:val="00483CD0"/>
    <w:rsid w:val="004D2909"/>
    <w:rsid w:val="00535CF4"/>
    <w:rsid w:val="0067669A"/>
    <w:rsid w:val="00705109"/>
    <w:rsid w:val="00887032"/>
    <w:rsid w:val="00B454A0"/>
    <w:rsid w:val="00B743BD"/>
    <w:rsid w:val="00B90A2D"/>
    <w:rsid w:val="00BA44E4"/>
    <w:rsid w:val="00BD768C"/>
    <w:rsid w:val="00C04C6C"/>
    <w:rsid w:val="00C40872"/>
    <w:rsid w:val="00C563C5"/>
    <w:rsid w:val="00CB0258"/>
    <w:rsid w:val="00E57E3E"/>
    <w:rsid w:val="00FB249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B9D68B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4A0"/>
    <w:rPr>
      <w:color w:val="0563C1" w:themeColor="hyperlink"/>
      <w:u w:val="single"/>
    </w:rPr>
  </w:style>
  <w:style w:type="paragraph" w:styleId="ListParagraph">
    <w:name w:val="List Paragraph"/>
    <w:basedOn w:val="Normal"/>
    <w:uiPriority w:val="34"/>
    <w:qFormat/>
    <w:rsid w:val="004761C3"/>
    <w:pPr>
      <w:ind w:left="720"/>
      <w:contextualSpacing/>
    </w:pPr>
  </w:style>
  <w:style w:type="paragraph" w:styleId="NormalWeb">
    <w:name w:val="Normal (Web)"/>
    <w:basedOn w:val="Normal"/>
    <w:uiPriority w:val="99"/>
    <w:semiHidden/>
    <w:unhideWhenUsed/>
    <w:rsid w:val="004761C3"/>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483838"/>
    <w:rPr>
      <w:color w:val="954F72" w:themeColor="followedHyperlink"/>
      <w:u w:val="single"/>
    </w:rPr>
  </w:style>
  <w:style w:type="paragraph" w:styleId="Header">
    <w:name w:val="header"/>
    <w:basedOn w:val="Normal"/>
    <w:link w:val="HeaderChar"/>
    <w:uiPriority w:val="99"/>
    <w:unhideWhenUsed/>
    <w:rsid w:val="00483838"/>
    <w:pPr>
      <w:tabs>
        <w:tab w:val="center" w:pos="4680"/>
        <w:tab w:val="right" w:pos="9360"/>
      </w:tabs>
    </w:pPr>
  </w:style>
  <w:style w:type="character" w:customStyle="1" w:styleId="HeaderChar">
    <w:name w:val="Header Char"/>
    <w:basedOn w:val="DefaultParagraphFont"/>
    <w:link w:val="Header"/>
    <w:uiPriority w:val="99"/>
    <w:rsid w:val="00483838"/>
  </w:style>
  <w:style w:type="paragraph" w:styleId="Footer">
    <w:name w:val="footer"/>
    <w:basedOn w:val="Normal"/>
    <w:link w:val="FooterChar"/>
    <w:uiPriority w:val="99"/>
    <w:unhideWhenUsed/>
    <w:rsid w:val="00483838"/>
    <w:pPr>
      <w:tabs>
        <w:tab w:val="center" w:pos="4680"/>
        <w:tab w:val="right" w:pos="9360"/>
      </w:tabs>
    </w:pPr>
  </w:style>
  <w:style w:type="character" w:customStyle="1" w:styleId="FooterChar">
    <w:name w:val="Footer Char"/>
    <w:basedOn w:val="DefaultParagraphFont"/>
    <w:link w:val="Footer"/>
    <w:uiPriority w:val="99"/>
    <w:rsid w:val="00483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2367">
      <w:bodyDiv w:val="1"/>
      <w:marLeft w:val="0"/>
      <w:marRight w:val="0"/>
      <w:marTop w:val="0"/>
      <w:marBottom w:val="0"/>
      <w:divBdr>
        <w:top w:val="none" w:sz="0" w:space="0" w:color="auto"/>
        <w:left w:val="none" w:sz="0" w:space="0" w:color="auto"/>
        <w:bottom w:val="none" w:sz="0" w:space="0" w:color="auto"/>
        <w:right w:val="none" w:sz="0" w:space="0" w:color="auto"/>
      </w:divBdr>
      <w:divsChild>
        <w:div w:id="951862741">
          <w:marLeft w:val="547"/>
          <w:marRight w:val="0"/>
          <w:marTop w:val="134"/>
          <w:marBottom w:val="0"/>
          <w:divBdr>
            <w:top w:val="none" w:sz="0" w:space="0" w:color="auto"/>
            <w:left w:val="none" w:sz="0" w:space="0" w:color="auto"/>
            <w:bottom w:val="none" w:sz="0" w:space="0" w:color="auto"/>
            <w:right w:val="none" w:sz="0" w:space="0" w:color="auto"/>
          </w:divBdr>
        </w:div>
        <w:div w:id="1265309581">
          <w:marLeft w:val="1354"/>
          <w:marRight w:val="0"/>
          <w:marTop w:val="67"/>
          <w:marBottom w:val="0"/>
          <w:divBdr>
            <w:top w:val="none" w:sz="0" w:space="0" w:color="auto"/>
            <w:left w:val="none" w:sz="0" w:space="0" w:color="auto"/>
            <w:bottom w:val="none" w:sz="0" w:space="0" w:color="auto"/>
            <w:right w:val="none" w:sz="0" w:space="0" w:color="auto"/>
          </w:divBdr>
        </w:div>
        <w:div w:id="1749036082">
          <w:marLeft w:val="547"/>
          <w:marRight w:val="0"/>
          <w:marTop w:val="134"/>
          <w:marBottom w:val="0"/>
          <w:divBdr>
            <w:top w:val="none" w:sz="0" w:space="0" w:color="auto"/>
            <w:left w:val="none" w:sz="0" w:space="0" w:color="auto"/>
            <w:bottom w:val="none" w:sz="0" w:space="0" w:color="auto"/>
            <w:right w:val="none" w:sz="0" w:space="0" w:color="auto"/>
          </w:divBdr>
        </w:div>
        <w:div w:id="2008946567">
          <w:marLeft w:val="1354"/>
          <w:marRight w:val="0"/>
          <w:marTop w:val="67"/>
          <w:marBottom w:val="0"/>
          <w:divBdr>
            <w:top w:val="none" w:sz="0" w:space="0" w:color="auto"/>
            <w:left w:val="none" w:sz="0" w:space="0" w:color="auto"/>
            <w:bottom w:val="none" w:sz="0" w:space="0" w:color="auto"/>
            <w:right w:val="none" w:sz="0" w:space="0" w:color="auto"/>
          </w:divBdr>
        </w:div>
        <w:div w:id="896749072">
          <w:marLeft w:val="547"/>
          <w:marRight w:val="0"/>
          <w:marTop w:val="134"/>
          <w:marBottom w:val="0"/>
          <w:divBdr>
            <w:top w:val="none" w:sz="0" w:space="0" w:color="auto"/>
            <w:left w:val="none" w:sz="0" w:space="0" w:color="auto"/>
            <w:bottom w:val="none" w:sz="0" w:space="0" w:color="auto"/>
            <w:right w:val="none" w:sz="0" w:space="0" w:color="auto"/>
          </w:divBdr>
        </w:div>
        <w:div w:id="2086609175">
          <w:marLeft w:val="1354"/>
          <w:marRight w:val="0"/>
          <w:marTop w:val="67"/>
          <w:marBottom w:val="0"/>
          <w:divBdr>
            <w:top w:val="none" w:sz="0" w:space="0" w:color="auto"/>
            <w:left w:val="none" w:sz="0" w:space="0" w:color="auto"/>
            <w:bottom w:val="none" w:sz="0" w:space="0" w:color="auto"/>
            <w:right w:val="none" w:sz="0" w:space="0" w:color="auto"/>
          </w:divBdr>
        </w:div>
        <w:div w:id="996493413">
          <w:marLeft w:val="547"/>
          <w:marRight w:val="0"/>
          <w:marTop w:val="134"/>
          <w:marBottom w:val="0"/>
          <w:divBdr>
            <w:top w:val="none" w:sz="0" w:space="0" w:color="auto"/>
            <w:left w:val="none" w:sz="0" w:space="0" w:color="auto"/>
            <w:bottom w:val="none" w:sz="0" w:space="0" w:color="auto"/>
            <w:right w:val="none" w:sz="0" w:space="0" w:color="auto"/>
          </w:divBdr>
        </w:div>
        <w:div w:id="1247574370">
          <w:marLeft w:val="1354"/>
          <w:marRight w:val="0"/>
          <w:marTop w:val="67"/>
          <w:marBottom w:val="0"/>
          <w:divBdr>
            <w:top w:val="none" w:sz="0" w:space="0" w:color="auto"/>
            <w:left w:val="none" w:sz="0" w:space="0" w:color="auto"/>
            <w:bottom w:val="none" w:sz="0" w:space="0" w:color="auto"/>
            <w:right w:val="none" w:sz="0" w:space="0" w:color="auto"/>
          </w:divBdr>
        </w:div>
        <w:div w:id="1922369103">
          <w:marLeft w:val="1354"/>
          <w:marRight w:val="0"/>
          <w:marTop w:val="67"/>
          <w:marBottom w:val="0"/>
          <w:divBdr>
            <w:top w:val="none" w:sz="0" w:space="0" w:color="auto"/>
            <w:left w:val="none" w:sz="0" w:space="0" w:color="auto"/>
            <w:bottom w:val="none" w:sz="0" w:space="0" w:color="auto"/>
            <w:right w:val="none" w:sz="0" w:space="0" w:color="auto"/>
          </w:divBdr>
        </w:div>
        <w:div w:id="1361782580">
          <w:marLeft w:val="1354"/>
          <w:marRight w:val="0"/>
          <w:marTop w:val="67"/>
          <w:marBottom w:val="0"/>
          <w:divBdr>
            <w:top w:val="none" w:sz="0" w:space="0" w:color="auto"/>
            <w:left w:val="none" w:sz="0" w:space="0" w:color="auto"/>
            <w:bottom w:val="none" w:sz="0" w:space="0" w:color="auto"/>
            <w:right w:val="none" w:sz="0" w:space="0" w:color="auto"/>
          </w:divBdr>
        </w:div>
      </w:divsChild>
    </w:div>
    <w:div w:id="615874405">
      <w:bodyDiv w:val="1"/>
      <w:marLeft w:val="0"/>
      <w:marRight w:val="0"/>
      <w:marTop w:val="0"/>
      <w:marBottom w:val="0"/>
      <w:divBdr>
        <w:top w:val="none" w:sz="0" w:space="0" w:color="auto"/>
        <w:left w:val="none" w:sz="0" w:space="0" w:color="auto"/>
        <w:bottom w:val="none" w:sz="0" w:space="0" w:color="auto"/>
        <w:right w:val="none" w:sz="0" w:space="0" w:color="auto"/>
      </w:divBdr>
      <w:divsChild>
        <w:div w:id="711806032">
          <w:marLeft w:val="0"/>
          <w:marRight w:val="0"/>
          <w:marTop w:val="0"/>
          <w:marBottom w:val="0"/>
          <w:divBdr>
            <w:top w:val="none" w:sz="0" w:space="0" w:color="auto"/>
            <w:left w:val="none" w:sz="0" w:space="0" w:color="auto"/>
            <w:bottom w:val="none" w:sz="0" w:space="0" w:color="auto"/>
            <w:right w:val="none" w:sz="0" w:space="0" w:color="auto"/>
          </w:divBdr>
          <w:divsChild>
            <w:div w:id="1037508498">
              <w:marLeft w:val="0"/>
              <w:marRight w:val="0"/>
              <w:marTop w:val="0"/>
              <w:marBottom w:val="0"/>
              <w:divBdr>
                <w:top w:val="none" w:sz="0" w:space="0" w:color="auto"/>
                <w:left w:val="none" w:sz="0" w:space="0" w:color="auto"/>
                <w:bottom w:val="none" w:sz="0" w:space="0" w:color="auto"/>
                <w:right w:val="none" w:sz="0" w:space="0" w:color="auto"/>
              </w:divBdr>
              <w:divsChild>
                <w:div w:id="904219798">
                  <w:marLeft w:val="0"/>
                  <w:marRight w:val="0"/>
                  <w:marTop w:val="0"/>
                  <w:marBottom w:val="0"/>
                  <w:divBdr>
                    <w:top w:val="none" w:sz="0" w:space="0" w:color="auto"/>
                    <w:left w:val="none" w:sz="0" w:space="0" w:color="auto"/>
                    <w:bottom w:val="none" w:sz="0" w:space="0" w:color="auto"/>
                    <w:right w:val="none" w:sz="0" w:space="0" w:color="auto"/>
                  </w:divBdr>
                  <w:divsChild>
                    <w:div w:id="176167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19228">
      <w:bodyDiv w:val="1"/>
      <w:marLeft w:val="0"/>
      <w:marRight w:val="0"/>
      <w:marTop w:val="0"/>
      <w:marBottom w:val="0"/>
      <w:divBdr>
        <w:top w:val="none" w:sz="0" w:space="0" w:color="auto"/>
        <w:left w:val="none" w:sz="0" w:space="0" w:color="auto"/>
        <w:bottom w:val="none" w:sz="0" w:space="0" w:color="auto"/>
        <w:right w:val="none" w:sz="0" w:space="0" w:color="auto"/>
      </w:divBdr>
    </w:div>
    <w:div w:id="13015762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www.sec.gov/info/municipal/mun-advisors-faqs.pdf"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www.sec.gov/info/municipal/mun-advisors-faqs.pdf" TargetMode="External"/><Relationship Id="rId11" Type="http://schemas.openxmlformats.org/officeDocument/2006/relationships/hyperlink" Target="https://www.cftc.gov/sites/default/files/idc/groups/public/@lrlettergeneral/documents/letter/13-79.pdf" TargetMode="External"/><Relationship Id="rId12" Type="http://schemas.openxmlformats.org/officeDocument/2006/relationships/hyperlink" Target="https://www.cftc.gov/sites/default/files/idc/groups/public/@lrfederalregister/documents/file/2012-1244a.pdf" TargetMode="External"/><Relationship Id="rId13" Type="http://schemas.openxmlformats.org/officeDocument/2006/relationships/hyperlink" Target="http://msrb.org/Rules-and-Interpretations/MSRB-Rules/General/Rule-G-42.aspx" TargetMode="External"/><Relationship Id="rId14" Type="http://schemas.openxmlformats.org/officeDocument/2006/relationships/hyperlink" Target="http://www.gfoa.org/sites/default/files/ADV_Using%20Debt-Related%20Derivatives.pdf" TargetMode="External"/><Relationship Id="rId15" Type="http://schemas.openxmlformats.org/officeDocument/2006/relationships/hyperlink" Target="http://www.gfoa.org/sites/default/files/ADV_Using%20Debt-Related%20Derivatives.pdf" TargetMode="External"/><Relationship Id="rId16" Type="http://schemas.openxmlformats.org/officeDocument/2006/relationships/hyperlink" Target="https://www.gfoa.org/products-and-services/resources/federal-government-relations/municipal-advisor-ma-rule-resource" TargetMode="External"/><Relationship Id="rId17" Type="http://schemas.openxmlformats.org/officeDocument/2006/relationships/hyperlink" Target="https://www.gfoa.org/products-and-services/resources/federal-government-relations/municipal-advisor-ma-rule-resource" TargetMode="External"/><Relationship Id="rId18" Type="http://schemas.openxmlformats.org/officeDocument/2006/relationships/hyperlink" Target="https://www.nabl.org/DesktopModules/Bring2mind/DMX/Download.aspx?portalid=0&amp;EntryId=1156" TargetMode="External"/><Relationship Id="rId19" Type="http://schemas.openxmlformats.org/officeDocument/2006/relationships/hyperlink" Target="https://www.nabl.org/DesktopModules/Bring2mind/DMX/Download.aspx?portalid=0&amp;EntryId=1156"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ec.gov/municipal/municipal-advisors.html" TargetMode="External"/><Relationship Id="rId8" Type="http://schemas.openxmlformats.org/officeDocument/2006/relationships/hyperlink" Target="https://www.sec.gov/municipal/municipal-advisor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462</Words>
  <Characters>2522</Characters>
  <Application>Microsoft Macintosh Word</Application>
  <DocSecurity>0</DocSecurity>
  <Lines>78</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Gaffney</dc:creator>
  <cp:keywords/>
  <dc:description/>
  <cp:lastModifiedBy>Susan Gaffney</cp:lastModifiedBy>
  <cp:revision>3</cp:revision>
  <cp:lastPrinted>2018-03-27T15:38:00Z</cp:lastPrinted>
  <dcterms:created xsi:type="dcterms:W3CDTF">2018-03-27T15:38:00Z</dcterms:created>
  <dcterms:modified xsi:type="dcterms:W3CDTF">2018-03-27T15:47:00Z</dcterms:modified>
</cp:coreProperties>
</file>