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EDA67" w14:textId="77777777" w:rsidR="00DC5024" w:rsidRDefault="00DC5024" w:rsidP="00DC5024">
      <w:pPr>
        <w:jc w:val="center"/>
        <w:rPr>
          <w:b/>
          <w:sz w:val="28"/>
          <w:szCs w:val="28"/>
        </w:rPr>
      </w:pPr>
    </w:p>
    <w:p w14:paraId="61CD56EA" w14:textId="77777777" w:rsidR="00DC5024" w:rsidRPr="00B0510E" w:rsidRDefault="00DC5024" w:rsidP="00DC5024">
      <w:pPr>
        <w:jc w:val="center"/>
        <w:rPr>
          <w:rFonts w:asciiTheme="minorHAnsi" w:hAnsiTheme="minorHAnsi"/>
          <w:b/>
          <w:sz w:val="28"/>
          <w:szCs w:val="28"/>
        </w:rPr>
      </w:pPr>
      <w:r w:rsidRPr="00B0510E">
        <w:rPr>
          <w:rFonts w:asciiTheme="minorHAnsi" w:hAnsiTheme="minorHAnsi"/>
          <w:b/>
          <w:sz w:val="28"/>
          <w:szCs w:val="28"/>
        </w:rPr>
        <w:t>MSRB Series 54:  Principals Qualification Examination</w:t>
      </w:r>
    </w:p>
    <w:p w14:paraId="1D8C4360" w14:textId="77777777" w:rsidR="00DC5024" w:rsidRPr="00B0510E" w:rsidRDefault="00DC5024" w:rsidP="00DC5024">
      <w:pPr>
        <w:jc w:val="center"/>
        <w:rPr>
          <w:rFonts w:asciiTheme="minorHAnsi" w:hAnsiTheme="minorHAnsi"/>
          <w:b/>
          <w:sz w:val="28"/>
          <w:szCs w:val="28"/>
        </w:rPr>
      </w:pPr>
      <w:r w:rsidRPr="00B0510E">
        <w:rPr>
          <w:rFonts w:asciiTheme="minorHAnsi" w:hAnsiTheme="minorHAnsi"/>
          <w:b/>
          <w:sz w:val="28"/>
          <w:szCs w:val="28"/>
        </w:rPr>
        <w:t>OVERVIEW</w:t>
      </w:r>
    </w:p>
    <w:p w14:paraId="290170B9" w14:textId="77777777" w:rsidR="00DC5024" w:rsidRDefault="00DC5024" w:rsidP="00DC5024">
      <w:pPr>
        <w:rPr>
          <w:sz w:val="22"/>
          <w:szCs w:val="22"/>
        </w:rPr>
      </w:pPr>
    </w:p>
    <w:p w14:paraId="374E418C" w14:textId="77777777" w:rsidR="00DC5024" w:rsidRPr="009B6A49" w:rsidRDefault="00DC5024" w:rsidP="00DC5024">
      <w:pPr>
        <w:rPr>
          <w:rFonts w:asciiTheme="minorHAnsi" w:hAnsiTheme="minorHAnsi"/>
          <w:sz w:val="22"/>
          <w:szCs w:val="22"/>
        </w:rPr>
      </w:pPr>
      <w:r w:rsidRPr="009B6A49">
        <w:rPr>
          <w:rFonts w:asciiTheme="minorHAnsi" w:hAnsiTheme="minorHAnsi"/>
          <w:sz w:val="22"/>
          <w:szCs w:val="22"/>
        </w:rPr>
        <w:t xml:space="preserve">The MSRB has released information about the Series 54 Municipal Advisors Principals Qualification Exam.  This exam is developed under the MSRB’s authority under the </w:t>
      </w:r>
      <w:r w:rsidRPr="009B6A49">
        <w:rPr>
          <w:rFonts w:asciiTheme="minorHAnsi" w:hAnsiTheme="minorHAnsi"/>
          <w:i/>
          <w:sz w:val="22"/>
          <w:szCs w:val="22"/>
        </w:rPr>
        <w:t>1934 Exchange Act</w:t>
      </w:r>
      <w:r w:rsidRPr="009B6A49">
        <w:rPr>
          <w:rFonts w:asciiTheme="minorHAnsi" w:hAnsiTheme="minorHAnsi"/>
          <w:sz w:val="22"/>
          <w:szCs w:val="22"/>
        </w:rPr>
        <w:t xml:space="preserve"> 15b(b)(2)(A) and is intended to ensure appropriate standards of training, experience and competence are in place for the protection of municipal entities and the public interest.  The exam promotes professional qualification standards to “demonstrate a specified level of competency in the regulatory requirements and application thereof to the firm’s MA activities.” </w:t>
      </w:r>
    </w:p>
    <w:p w14:paraId="5035779E" w14:textId="77777777" w:rsidR="00DC5024" w:rsidRPr="009B6A49" w:rsidRDefault="00DC5024" w:rsidP="00DC5024">
      <w:pPr>
        <w:rPr>
          <w:rFonts w:asciiTheme="minorHAnsi" w:hAnsiTheme="minorHAnsi"/>
          <w:sz w:val="22"/>
          <w:szCs w:val="22"/>
        </w:rPr>
      </w:pPr>
    </w:p>
    <w:p w14:paraId="2E3AC77C" w14:textId="77777777" w:rsidR="00DC5024" w:rsidRPr="009B6A49" w:rsidRDefault="00DC5024" w:rsidP="00DC5024">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9B6A49">
        <w:rPr>
          <w:rFonts w:asciiTheme="minorHAnsi" w:hAnsiTheme="minorHAnsi"/>
          <w:sz w:val="22"/>
          <w:szCs w:val="22"/>
        </w:rPr>
        <w:t>The information below has been developed to assist Municipal Advisor Firms understand key features of the rulemaking for and the Series 54 exam itself and should not be considered to be all encompassing information about Rule G-3 and the Series 54 exam, nor is this legal advice.</w:t>
      </w:r>
    </w:p>
    <w:p w14:paraId="2003A6C8" w14:textId="77777777" w:rsidR="00DC5024" w:rsidRPr="009B6A49" w:rsidRDefault="00DC5024" w:rsidP="00DC5024">
      <w:pPr>
        <w:rPr>
          <w:rFonts w:asciiTheme="minorHAnsi" w:hAnsiTheme="minorHAnsi"/>
          <w:sz w:val="22"/>
          <w:szCs w:val="22"/>
        </w:rPr>
      </w:pPr>
    </w:p>
    <w:p w14:paraId="47220C1D" w14:textId="77777777" w:rsidR="00DC5024" w:rsidRPr="009B6A49" w:rsidRDefault="00DC5024" w:rsidP="00DC5024">
      <w:pPr>
        <w:rPr>
          <w:rFonts w:asciiTheme="minorHAnsi" w:hAnsiTheme="minorHAnsi"/>
          <w:b/>
          <w:sz w:val="22"/>
          <w:szCs w:val="22"/>
          <w:u w:val="single"/>
        </w:rPr>
      </w:pPr>
      <w:r w:rsidRPr="009B6A49">
        <w:rPr>
          <w:rFonts w:asciiTheme="minorHAnsi" w:hAnsiTheme="minorHAnsi"/>
          <w:b/>
          <w:sz w:val="22"/>
          <w:szCs w:val="22"/>
          <w:u w:val="single"/>
        </w:rPr>
        <w:t>Series 54 Exam</w:t>
      </w:r>
    </w:p>
    <w:p w14:paraId="00379CFD" w14:textId="77777777" w:rsidR="00DC5024" w:rsidRPr="009B6A49" w:rsidRDefault="00DC5024" w:rsidP="00DC5024">
      <w:pPr>
        <w:rPr>
          <w:rFonts w:asciiTheme="minorHAnsi" w:hAnsiTheme="minorHAnsi"/>
          <w:sz w:val="22"/>
          <w:szCs w:val="22"/>
        </w:rPr>
      </w:pPr>
    </w:p>
    <w:p w14:paraId="0E3BE9CB" w14:textId="6BACB86B" w:rsidR="001E1CAC" w:rsidRPr="009B6A49" w:rsidRDefault="00DC5024" w:rsidP="001E1CAC">
      <w:pPr>
        <w:pStyle w:val="ListParagraph"/>
        <w:numPr>
          <w:ilvl w:val="0"/>
          <w:numId w:val="1"/>
        </w:numPr>
        <w:rPr>
          <w:sz w:val="22"/>
          <w:szCs w:val="22"/>
        </w:rPr>
      </w:pPr>
      <w:r w:rsidRPr="009B6A49">
        <w:rPr>
          <w:sz w:val="22"/>
          <w:szCs w:val="22"/>
        </w:rPr>
        <w:t>Link to MSRB Notice</w:t>
      </w:r>
      <w:r w:rsidR="00D13723" w:rsidRPr="009B6A49">
        <w:rPr>
          <w:sz w:val="22"/>
          <w:szCs w:val="22"/>
        </w:rPr>
        <w:t>/Series 54 Outline</w:t>
      </w:r>
      <w:r w:rsidRPr="009B6A49">
        <w:rPr>
          <w:sz w:val="22"/>
          <w:szCs w:val="22"/>
        </w:rPr>
        <w:t>:</w:t>
      </w:r>
      <w:r w:rsidRPr="009B6A49">
        <w:rPr>
          <w:sz w:val="22"/>
          <w:szCs w:val="22"/>
        </w:rPr>
        <w:tab/>
      </w:r>
    </w:p>
    <w:p w14:paraId="322C8882" w14:textId="4A163E0B" w:rsidR="008C0F59" w:rsidRDefault="00861B30" w:rsidP="00964174">
      <w:pPr>
        <w:ind w:firstLine="360"/>
        <w:rPr>
          <w:rFonts w:asciiTheme="minorHAnsi" w:eastAsia="Times New Roman" w:hAnsiTheme="minorHAnsi"/>
          <w:color w:val="0070C0"/>
          <w:sz w:val="22"/>
          <w:szCs w:val="22"/>
        </w:rPr>
      </w:pPr>
      <w:hyperlink r:id="rId8" w:history="1">
        <w:r w:rsidRPr="00B907A8">
          <w:rPr>
            <w:rStyle w:val="Hyperlink"/>
            <w:rFonts w:asciiTheme="minorHAnsi" w:eastAsia="Times New Roman" w:hAnsiTheme="minorHAnsi"/>
            <w:sz w:val="22"/>
            <w:szCs w:val="22"/>
          </w:rPr>
          <w:t>http://msrb.org/~/media/Files/Regulatory-Notices/Announcements/2018-33.ashx??n=1</w:t>
        </w:r>
      </w:hyperlink>
    </w:p>
    <w:p w14:paraId="2807FBBB" w14:textId="77777777" w:rsidR="00861B30" w:rsidRDefault="00861B30" w:rsidP="00964174">
      <w:pPr>
        <w:ind w:firstLine="360"/>
        <w:rPr>
          <w:rFonts w:asciiTheme="minorHAnsi" w:eastAsia="Times New Roman" w:hAnsiTheme="minorHAnsi"/>
          <w:color w:val="0070C0"/>
          <w:sz w:val="22"/>
          <w:szCs w:val="22"/>
        </w:rPr>
      </w:pPr>
      <w:bookmarkStart w:id="0" w:name="_GoBack"/>
      <w:bookmarkEnd w:id="0"/>
    </w:p>
    <w:p w14:paraId="5AE85E82" w14:textId="77777777" w:rsidR="00052778" w:rsidRDefault="00052778" w:rsidP="00052778">
      <w:pPr>
        <w:pStyle w:val="ListParagraph"/>
        <w:numPr>
          <w:ilvl w:val="0"/>
          <w:numId w:val="1"/>
        </w:numPr>
        <w:rPr>
          <w:rFonts w:eastAsia="Times New Roman"/>
          <w:color w:val="000000" w:themeColor="text1"/>
          <w:sz w:val="22"/>
          <w:szCs w:val="22"/>
        </w:rPr>
      </w:pPr>
      <w:r w:rsidRPr="00052778">
        <w:rPr>
          <w:rFonts w:eastAsia="Times New Roman"/>
          <w:color w:val="000000" w:themeColor="text1"/>
          <w:sz w:val="22"/>
          <w:szCs w:val="22"/>
        </w:rPr>
        <w:t>Link to MSRB Notice 2018-30:</w:t>
      </w:r>
      <w:r w:rsidRPr="00052778">
        <w:rPr>
          <w:rFonts w:eastAsia="Times New Roman"/>
          <w:color w:val="000000" w:themeColor="text1"/>
          <w:sz w:val="22"/>
          <w:szCs w:val="22"/>
        </w:rPr>
        <w:tab/>
        <w:t xml:space="preserve">SEC Approves Amendments to MSRB Rule G-3 to Establish a Municipal </w:t>
      </w:r>
    </w:p>
    <w:p w14:paraId="2016984E" w14:textId="559126D3" w:rsidR="00052778" w:rsidRPr="00052778" w:rsidRDefault="00052778" w:rsidP="00052778">
      <w:pPr>
        <w:pStyle w:val="ListParagraph"/>
        <w:ind w:left="360"/>
        <w:rPr>
          <w:rFonts w:eastAsia="Times New Roman"/>
          <w:color w:val="000000" w:themeColor="text1"/>
          <w:sz w:val="22"/>
          <w:szCs w:val="22"/>
        </w:rPr>
      </w:pPr>
      <w:r>
        <w:rPr>
          <w:rFonts w:eastAsia="Times New Roman"/>
          <w:color w:val="000000" w:themeColor="text1"/>
          <w:sz w:val="22"/>
          <w:szCs w:val="22"/>
        </w:rPr>
        <w:tab/>
      </w:r>
      <w:r>
        <w:rPr>
          <w:rFonts w:eastAsia="Times New Roman"/>
          <w:color w:val="000000" w:themeColor="text1"/>
          <w:sz w:val="22"/>
          <w:szCs w:val="22"/>
        </w:rPr>
        <w:tab/>
      </w:r>
      <w:r>
        <w:rPr>
          <w:rFonts w:eastAsia="Times New Roman"/>
          <w:color w:val="000000" w:themeColor="text1"/>
          <w:sz w:val="22"/>
          <w:szCs w:val="22"/>
        </w:rPr>
        <w:tab/>
      </w:r>
      <w:r>
        <w:rPr>
          <w:rFonts w:eastAsia="Times New Roman"/>
          <w:color w:val="000000" w:themeColor="text1"/>
          <w:sz w:val="22"/>
          <w:szCs w:val="22"/>
        </w:rPr>
        <w:tab/>
      </w:r>
      <w:r>
        <w:rPr>
          <w:rFonts w:eastAsia="Times New Roman"/>
          <w:color w:val="000000" w:themeColor="text1"/>
          <w:sz w:val="22"/>
          <w:szCs w:val="22"/>
        </w:rPr>
        <w:tab/>
      </w:r>
      <w:r w:rsidRPr="00052778">
        <w:rPr>
          <w:rFonts w:eastAsia="Times New Roman"/>
          <w:color w:val="000000" w:themeColor="text1"/>
          <w:sz w:val="22"/>
          <w:szCs w:val="22"/>
        </w:rPr>
        <w:t>Advisor Principal Qualification Examination</w:t>
      </w:r>
    </w:p>
    <w:p w14:paraId="48DB240C" w14:textId="19B284AA" w:rsidR="00052778" w:rsidRPr="00052778" w:rsidRDefault="00052778" w:rsidP="00052778">
      <w:pPr>
        <w:ind w:firstLine="360"/>
        <w:rPr>
          <w:rFonts w:asciiTheme="minorHAnsi" w:eastAsia="Times New Roman" w:hAnsiTheme="minorHAnsi"/>
          <w:color w:val="0070C0"/>
          <w:sz w:val="22"/>
          <w:szCs w:val="22"/>
        </w:rPr>
      </w:pPr>
      <w:hyperlink r:id="rId9" w:history="1">
        <w:r w:rsidRPr="00052778">
          <w:rPr>
            <w:rStyle w:val="Hyperlink"/>
            <w:rFonts w:asciiTheme="minorHAnsi" w:eastAsia="Times New Roman" w:hAnsiTheme="minorHAnsi"/>
            <w:color w:val="0070C0"/>
            <w:sz w:val="22"/>
            <w:szCs w:val="22"/>
          </w:rPr>
          <w:t>http://msrb.org/~/media/Files/Regulatory-Notices/Announcements/2018-30.ashx??n=1</w:t>
        </w:r>
      </w:hyperlink>
    </w:p>
    <w:p w14:paraId="013C0104" w14:textId="77777777" w:rsidR="00052778" w:rsidRPr="009B6A49" w:rsidRDefault="00052778" w:rsidP="00052778">
      <w:pPr>
        <w:rPr>
          <w:rFonts w:asciiTheme="minorHAnsi" w:eastAsia="Times New Roman" w:hAnsiTheme="minorHAnsi"/>
          <w:color w:val="0070C0"/>
          <w:sz w:val="22"/>
          <w:szCs w:val="22"/>
        </w:rPr>
      </w:pPr>
    </w:p>
    <w:p w14:paraId="1ABF2967" w14:textId="77777777" w:rsidR="00DC5024" w:rsidRPr="009B6A49" w:rsidRDefault="00DC5024" w:rsidP="00DC5024">
      <w:pPr>
        <w:pStyle w:val="ListParagraph"/>
        <w:numPr>
          <w:ilvl w:val="0"/>
          <w:numId w:val="1"/>
        </w:numPr>
        <w:rPr>
          <w:sz w:val="22"/>
          <w:szCs w:val="22"/>
        </w:rPr>
      </w:pPr>
      <w:r w:rsidRPr="009B6A49">
        <w:rPr>
          <w:sz w:val="22"/>
          <w:szCs w:val="22"/>
        </w:rPr>
        <w:t>Link to MSRB Rule G-3:</w:t>
      </w:r>
      <w:r w:rsidRPr="009B6A49">
        <w:rPr>
          <w:sz w:val="22"/>
          <w:szCs w:val="22"/>
        </w:rPr>
        <w:tab/>
        <w:t>http://msrb.org/Rules-and-Interpretations/MSRB-Rules/General/Rule-G-3.aspx</w:t>
      </w:r>
    </w:p>
    <w:p w14:paraId="5D4DA5A4" w14:textId="77777777" w:rsidR="00DC5024" w:rsidRPr="009B6A49" w:rsidRDefault="00DC5024" w:rsidP="00DC5024">
      <w:pPr>
        <w:rPr>
          <w:rFonts w:asciiTheme="minorHAnsi" w:hAnsiTheme="minorHAnsi"/>
          <w:sz w:val="22"/>
          <w:szCs w:val="22"/>
          <w:u w:val="single"/>
        </w:rPr>
      </w:pPr>
    </w:p>
    <w:p w14:paraId="06D874AD" w14:textId="77777777" w:rsidR="00DC5024" w:rsidRPr="009B6A49" w:rsidRDefault="00DC5024" w:rsidP="00DC5024">
      <w:pPr>
        <w:rPr>
          <w:rFonts w:asciiTheme="minorHAnsi" w:hAnsiTheme="minorHAnsi"/>
          <w:b/>
          <w:sz w:val="22"/>
          <w:szCs w:val="22"/>
          <w:u w:val="single"/>
        </w:rPr>
      </w:pPr>
      <w:r w:rsidRPr="009B6A49">
        <w:rPr>
          <w:rFonts w:asciiTheme="minorHAnsi" w:hAnsiTheme="minorHAnsi"/>
          <w:b/>
          <w:sz w:val="22"/>
          <w:szCs w:val="22"/>
          <w:u w:val="single"/>
        </w:rPr>
        <w:t>Important Testing Dates</w:t>
      </w:r>
    </w:p>
    <w:p w14:paraId="3900BA22" w14:textId="77777777" w:rsidR="00DC5024" w:rsidRPr="009B6A49" w:rsidRDefault="00DC5024" w:rsidP="00DC5024">
      <w:pPr>
        <w:rPr>
          <w:rFonts w:asciiTheme="minorHAnsi" w:hAnsiTheme="minorHAnsi"/>
          <w:sz w:val="22"/>
          <w:szCs w:val="22"/>
        </w:rPr>
      </w:pPr>
    </w:p>
    <w:p w14:paraId="6BF18769" w14:textId="43E4F5B2" w:rsidR="00DC5024" w:rsidRPr="009B6A49" w:rsidRDefault="00DC5024" w:rsidP="009B6A49">
      <w:pPr>
        <w:pStyle w:val="ListParagraph"/>
        <w:numPr>
          <w:ilvl w:val="0"/>
          <w:numId w:val="2"/>
        </w:numPr>
        <w:rPr>
          <w:sz w:val="22"/>
          <w:szCs w:val="22"/>
        </w:rPr>
      </w:pPr>
      <w:r w:rsidRPr="009B6A49">
        <w:rPr>
          <w:sz w:val="22"/>
          <w:szCs w:val="22"/>
        </w:rPr>
        <w:t>Pilot Registration Period:</w:t>
      </w:r>
      <w:r w:rsidRPr="009B6A49">
        <w:rPr>
          <w:sz w:val="22"/>
          <w:szCs w:val="22"/>
        </w:rPr>
        <w:tab/>
      </w:r>
      <w:r w:rsidRPr="009B6A49">
        <w:rPr>
          <w:sz w:val="22"/>
          <w:szCs w:val="22"/>
        </w:rPr>
        <w:tab/>
      </w:r>
      <w:r w:rsidR="009B6A49" w:rsidRPr="009B6A49">
        <w:rPr>
          <w:sz w:val="22"/>
          <w:szCs w:val="22"/>
        </w:rPr>
        <w:t>February 4 – 15</w:t>
      </w:r>
    </w:p>
    <w:p w14:paraId="28A8BD82" w14:textId="0E323B7F" w:rsidR="009B6A49" w:rsidRPr="00E8493E" w:rsidRDefault="009B6A49" w:rsidP="009B6A49">
      <w:pPr>
        <w:pStyle w:val="ListParagraph"/>
        <w:numPr>
          <w:ilvl w:val="0"/>
          <w:numId w:val="2"/>
        </w:numPr>
        <w:rPr>
          <w:rFonts w:eastAsia="Times New Roman" w:cs="Times New Roman"/>
          <w:color w:val="0070C0"/>
          <w:sz w:val="22"/>
          <w:szCs w:val="22"/>
        </w:rPr>
      </w:pPr>
      <w:r w:rsidRPr="009B6A49">
        <w:rPr>
          <w:sz w:val="22"/>
          <w:szCs w:val="22"/>
        </w:rPr>
        <w:t>FINRA Exam Registration Page:</w:t>
      </w:r>
      <w:r w:rsidRPr="009B6A49">
        <w:rPr>
          <w:sz w:val="22"/>
          <w:szCs w:val="22"/>
        </w:rPr>
        <w:tab/>
      </w:r>
      <w:hyperlink r:id="rId10" w:history="1">
        <w:r w:rsidRPr="00E8493E">
          <w:rPr>
            <w:rFonts w:eastAsia="Times New Roman" w:cs="Times New Roman"/>
            <w:color w:val="0070C0"/>
            <w:sz w:val="22"/>
            <w:szCs w:val="22"/>
            <w:u w:val="single"/>
          </w:rPr>
          <w:t>http://www.finra.org/industry/enroll-series-exam</w:t>
        </w:r>
      </w:hyperlink>
    </w:p>
    <w:p w14:paraId="3C6BE8CD" w14:textId="6B3DFE13" w:rsidR="009B6A49" w:rsidRPr="009B6A49" w:rsidRDefault="009B6A49" w:rsidP="009B6A49">
      <w:pPr>
        <w:pStyle w:val="ListParagraph"/>
        <w:numPr>
          <w:ilvl w:val="0"/>
          <w:numId w:val="2"/>
        </w:numPr>
        <w:rPr>
          <w:rFonts w:eastAsia="Times New Roman"/>
          <w:color w:val="0070C0"/>
          <w:sz w:val="22"/>
          <w:szCs w:val="22"/>
        </w:rPr>
      </w:pPr>
      <w:r w:rsidRPr="009B6A49">
        <w:rPr>
          <w:sz w:val="22"/>
          <w:szCs w:val="22"/>
        </w:rPr>
        <w:t>FINRA Exam Registration FAQ:</w:t>
      </w:r>
      <w:r w:rsidRPr="009B6A49">
        <w:rPr>
          <w:rFonts w:eastAsia="Times New Roman" w:cs="Times New Roman"/>
          <w:sz w:val="22"/>
          <w:szCs w:val="22"/>
        </w:rPr>
        <w:tab/>
      </w:r>
      <w:hyperlink r:id="rId11" w:history="1">
        <w:r w:rsidRPr="009B6A49">
          <w:rPr>
            <w:rStyle w:val="Hyperlink"/>
            <w:rFonts w:eastAsia="Times New Roman"/>
            <w:color w:val="0070C0"/>
            <w:sz w:val="22"/>
            <w:szCs w:val="22"/>
          </w:rPr>
          <w:t>http://www.finra.org/industry/tess-faq</w:t>
        </w:r>
      </w:hyperlink>
    </w:p>
    <w:p w14:paraId="2BE4B7EA" w14:textId="2D638D4D" w:rsidR="00DC5024" w:rsidRPr="009B6A49" w:rsidRDefault="00DC5024" w:rsidP="009B6A49">
      <w:pPr>
        <w:pStyle w:val="ListParagraph"/>
        <w:numPr>
          <w:ilvl w:val="0"/>
          <w:numId w:val="2"/>
        </w:numPr>
        <w:rPr>
          <w:sz w:val="22"/>
          <w:szCs w:val="22"/>
        </w:rPr>
      </w:pPr>
      <w:r w:rsidRPr="009B6A49">
        <w:rPr>
          <w:sz w:val="22"/>
          <w:szCs w:val="22"/>
        </w:rPr>
        <w:t>Pilot Exam</w:t>
      </w:r>
      <w:r w:rsidR="009B6A49" w:rsidRPr="009B6A49">
        <w:rPr>
          <w:sz w:val="22"/>
          <w:szCs w:val="22"/>
        </w:rPr>
        <w:t xml:space="preserve"> </w:t>
      </w:r>
      <w:r w:rsidR="009B6A49">
        <w:rPr>
          <w:sz w:val="22"/>
          <w:szCs w:val="22"/>
        </w:rPr>
        <w:t>Period</w:t>
      </w:r>
      <w:r w:rsidRPr="009B6A49">
        <w:rPr>
          <w:sz w:val="22"/>
          <w:szCs w:val="22"/>
        </w:rPr>
        <w:t>:</w:t>
      </w:r>
      <w:r w:rsidRPr="009B6A49">
        <w:rPr>
          <w:sz w:val="22"/>
          <w:szCs w:val="22"/>
        </w:rPr>
        <w:tab/>
      </w:r>
      <w:r w:rsidR="009B6A49">
        <w:rPr>
          <w:sz w:val="22"/>
          <w:szCs w:val="22"/>
        </w:rPr>
        <w:tab/>
      </w:r>
      <w:r w:rsidRPr="009B6A49">
        <w:rPr>
          <w:sz w:val="22"/>
          <w:szCs w:val="22"/>
        </w:rPr>
        <w:tab/>
        <w:t>1</w:t>
      </w:r>
      <w:r w:rsidR="009B6A49" w:rsidRPr="009B6A49">
        <w:rPr>
          <w:sz w:val="22"/>
          <w:szCs w:val="22"/>
        </w:rPr>
        <w:t>20 days following registration for pilot exam</w:t>
      </w:r>
    </w:p>
    <w:p w14:paraId="00704DB9" w14:textId="77777777" w:rsidR="00DC5024" w:rsidRPr="009B6A49" w:rsidRDefault="00DC5024" w:rsidP="009B6A49">
      <w:pPr>
        <w:pStyle w:val="ListParagraph"/>
        <w:numPr>
          <w:ilvl w:val="0"/>
          <w:numId w:val="2"/>
        </w:numPr>
        <w:rPr>
          <w:sz w:val="22"/>
          <w:szCs w:val="22"/>
        </w:rPr>
      </w:pPr>
      <w:r w:rsidRPr="009B6A49">
        <w:rPr>
          <w:sz w:val="22"/>
          <w:szCs w:val="22"/>
        </w:rPr>
        <w:t>Permanent Exam Period:</w:t>
      </w:r>
      <w:r w:rsidRPr="009B6A49">
        <w:rPr>
          <w:sz w:val="22"/>
          <w:szCs w:val="22"/>
        </w:rPr>
        <w:tab/>
      </w:r>
      <w:r w:rsidRPr="009B6A49">
        <w:rPr>
          <w:sz w:val="22"/>
          <w:szCs w:val="22"/>
        </w:rPr>
        <w:tab/>
        <w:t>Fall 2019 – Fall 2020 (exact dates to be determined)</w:t>
      </w:r>
    </w:p>
    <w:p w14:paraId="6F627125" w14:textId="77777777" w:rsidR="005B7711" w:rsidRPr="009B6A49" w:rsidRDefault="00D11655" w:rsidP="009B6A49">
      <w:pPr>
        <w:rPr>
          <w:rFonts w:asciiTheme="minorHAnsi" w:hAnsiTheme="minorHAnsi"/>
          <w:sz w:val="22"/>
          <w:szCs w:val="22"/>
        </w:rPr>
      </w:pPr>
    </w:p>
    <w:p w14:paraId="2E9B8876" w14:textId="77777777" w:rsidR="00DC5024" w:rsidRPr="009B6A49" w:rsidRDefault="00DC5024" w:rsidP="00DC5024">
      <w:pPr>
        <w:rPr>
          <w:rFonts w:asciiTheme="minorHAnsi" w:hAnsiTheme="minorHAnsi"/>
          <w:b/>
          <w:sz w:val="22"/>
          <w:szCs w:val="22"/>
          <w:u w:val="single"/>
        </w:rPr>
      </w:pPr>
      <w:r w:rsidRPr="009B6A49">
        <w:rPr>
          <w:rFonts w:asciiTheme="minorHAnsi" w:hAnsiTheme="minorHAnsi"/>
          <w:b/>
          <w:sz w:val="22"/>
          <w:szCs w:val="22"/>
          <w:u w:val="single"/>
        </w:rPr>
        <w:t>Who Takes the Exam</w:t>
      </w:r>
    </w:p>
    <w:p w14:paraId="1FCEEB2A" w14:textId="77777777" w:rsidR="00DC5024" w:rsidRPr="009B6A49" w:rsidRDefault="00DC5024" w:rsidP="00DC5024">
      <w:pPr>
        <w:rPr>
          <w:rFonts w:asciiTheme="minorHAnsi" w:hAnsiTheme="minorHAnsi"/>
          <w:sz w:val="22"/>
          <w:szCs w:val="22"/>
        </w:rPr>
      </w:pPr>
    </w:p>
    <w:p w14:paraId="60206AFF" w14:textId="77777777" w:rsidR="00DC5024" w:rsidRPr="009B6A49" w:rsidRDefault="00DC5024" w:rsidP="00DC5024">
      <w:pPr>
        <w:rPr>
          <w:rFonts w:asciiTheme="minorHAnsi" w:hAnsiTheme="minorHAnsi"/>
          <w:sz w:val="22"/>
          <w:szCs w:val="22"/>
        </w:rPr>
      </w:pPr>
      <w:r w:rsidRPr="009B6A49">
        <w:rPr>
          <w:rFonts w:asciiTheme="minorHAnsi" w:hAnsiTheme="minorHAnsi"/>
          <w:sz w:val="22"/>
          <w:szCs w:val="22"/>
        </w:rPr>
        <w:t>Municipal Advisor Principal is defined under MSRB Rule G-3(e)(i), as a “natural person associated with a municipal advisor [firm] who is qualified as a MA representative [having passed the Series 50 exam] and is directly engaged in the management, direction or supervision of the municipal advisory activities of the municipal advisor [firm] and its associated persons [MA-Is in the firm].”  Each firm must have at least one designated principal within their firm.</w:t>
      </w:r>
    </w:p>
    <w:p w14:paraId="56B59014" w14:textId="77777777" w:rsidR="00DC5024" w:rsidRPr="009B6A49" w:rsidRDefault="00DC5024">
      <w:pPr>
        <w:rPr>
          <w:rFonts w:asciiTheme="minorHAnsi" w:hAnsiTheme="minorHAnsi"/>
          <w:sz w:val="22"/>
          <w:szCs w:val="22"/>
        </w:rPr>
      </w:pPr>
    </w:p>
    <w:p w14:paraId="0E652822" w14:textId="77777777" w:rsidR="00DC5024" w:rsidRPr="009B6A49" w:rsidRDefault="00DC5024">
      <w:pPr>
        <w:rPr>
          <w:rFonts w:asciiTheme="minorHAnsi" w:hAnsiTheme="minorHAnsi"/>
          <w:b/>
          <w:sz w:val="22"/>
          <w:szCs w:val="22"/>
          <w:u w:val="single"/>
        </w:rPr>
      </w:pPr>
      <w:r w:rsidRPr="009B6A49">
        <w:rPr>
          <w:rFonts w:asciiTheme="minorHAnsi" w:hAnsiTheme="minorHAnsi"/>
          <w:b/>
          <w:sz w:val="22"/>
          <w:szCs w:val="22"/>
        </w:rPr>
        <w:t xml:space="preserve">MA firms should identify those individuals in their firm who meet this criteria and update their written supervisory procedures (WSP) to reflect this designation.  </w:t>
      </w:r>
      <w:r w:rsidRPr="009B6A49">
        <w:rPr>
          <w:rFonts w:asciiTheme="minorHAnsi" w:hAnsiTheme="minorHAnsi"/>
          <w:b/>
          <w:sz w:val="22"/>
          <w:szCs w:val="22"/>
          <w:u w:val="single"/>
        </w:rPr>
        <w:t>While MA firms may provide employees with various titles within their firm, it is important to clearly differentiate between these internal firm designations and those in the firm that meet the “principal” criteria according to MSRB Rule G-3(e)(i).</w:t>
      </w:r>
    </w:p>
    <w:p w14:paraId="59C16429" w14:textId="77777777" w:rsidR="00DC5024" w:rsidRPr="009B6A49" w:rsidRDefault="00DC5024">
      <w:pPr>
        <w:rPr>
          <w:rFonts w:asciiTheme="minorHAnsi" w:hAnsiTheme="minorHAnsi"/>
          <w:b/>
          <w:sz w:val="22"/>
          <w:szCs w:val="22"/>
          <w:u w:val="single"/>
        </w:rPr>
      </w:pPr>
    </w:p>
    <w:p w14:paraId="3C8B5614" w14:textId="77777777" w:rsidR="00052778" w:rsidRDefault="00052778">
      <w:pPr>
        <w:rPr>
          <w:rFonts w:asciiTheme="minorHAnsi" w:hAnsiTheme="minorHAnsi"/>
          <w:sz w:val="22"/>
          <w:szCs w:val="22"/>
        </w:rPr>
      </w:pPr>
    </w:p>
    <w:p w14:paraId="6CCB1C31" w14:textId="77777777" w:rsidR="00052778" w:rsidRDefault="00052778">
      <w:pPr>
        <w:rPr>
          <w:rFonts w:asciiTheme="minorHAnsi" w:hAnsiTheme="minorHAnsi"/>
          <w:sz w:val="22"/>
          <w:szCs w:val="22"/>
        </w:rPr>
      </w:pPr>
    </w:p>
    <w:p w14:paraId="47056AAD" w14:textId="74C11CF9" w:rsidR="00052778" w:rsidRPr="00DC1F9E" w:rsidRDefault="00052778">
      <w:pPr>
        <w:rPr>
          <w:rFonts w:asciiTheme="minorHAnsi" w:hAnsiTheme="minorHAnsi"/>
          <w:sz w:val="22"/>
          <w:szCs w:val="22"/>
          <w:u w:val="single"/>
        </w:rPr>
      </w:pPr>
      <w:r w:rsidRPr="00DC1F9E">
        <w:rPr>
          <w:rFonts w:asciiTheme="minorHAnsi" w:hAnsiTheme="minorHAnsi"/>
          <w:b/>
          <w:sz w:val="22"/>
          <w:szCs w:val="22"/>
          <w:u w:val="single"/>
        </w:rPr>
        <w:t>Who Takes the Exam</w:t>
      </w:r>
      <w:r w:rsidRPr="00DC1F9E">
        <w:rPr>
          <w:rFonts w:asciiTheme="minorHAnsi" w:hAnsiTheme="minorHAnsi"/>
          <w:sz w:val="22"/>
          <w:szCs w:val="22"/>
          <w:u w:val="single"/>
        </w:rPr>
        <w:t>, continued</w:t>
      </w:r>
    </w:p>
    <w:p w14:paraId="5971F50F" w14:textId="77777777" w:rsidR="00052778" w:rsidRDefault="00052778">
      <w:pPr>
        <w:rPr>
          <w:rFonts w:asciiTheme="minorHAnsi" w:hAnsiTheme="minorHAnsi"/>
          <w:sz w:val="22"/>
          <w:szCs w:val="22"/>
        </w:rPr>
      </w:pPr>
    </w:p>
    <w:p w14:paraId="6B2C617E" w14:textId="77777777" w:rsidR="00DC5024" w:rsidRPr="009B6A49" w:rsidRDefault="00DC5024">
      <w:pPr>
        <w:rPr>
          <w:rFonts w:asciiTheme="minorHAnsi" w:hAnsiTheme="minorHAnsi"/>
          <w:sz w:val="22"/>
          <w:szCs w:val="22"/>
        </w:rPr>
      </w:pPr>
      <w:r w:rsidRPr="009B6A49">
        <w:rPr>
          <w:rFonts w:asciiTheme="minorHAnsi" w:hAnsiTheme="minorHAnsi"/>
          <w:sz w:val="22"/>
          <w:szCs w:val="22"/>
        </w:rPr>
        <w:t>It is also important to note that when a new individual is hired to serve as a principal or the firm elevates a person within their firm to a principal status (“principal” as defined by MSRB), that person has 120 days from the time they begin performing supervisory duties to take the Series 54 exam.  Once an individual takes and passes the Series 54 exam, they can maintain that status even if they depart the firm/join a new firm.</w:t>
      </w:r>
      <w:r w:rsidRPr="009B6A49">
        <w:rPr>
          <w:rStyle w:val="EndnoteReference"/>
          <w:rFonts w:asciiTheme="minorHAnsi" w:hAnsiTheme="minorHAnsi"/>
          <w:sz w:val="22"/>
          <w:szCs w:val="22"/>
        </w:rPr>
        <w:endnoteReference w:id="1"/>
      </w:r>
    </w:p>
    <w:p w14:paraId="20A50E7E" w14:textId="77777777" w:rsidR="00DC5024" w:rsidRPr="009B6A49" w:rsidRDefault="00DC5024">
      <w:pPr>
        <w:rPr>
          <w:rFonts w:asciiTheme="minorHAnsi" w:hAnsiTheme="minorHAnsi"/>
          <w:sz w:val="22"/>
          <w:szCs w:val="22"/>
          <w:u w:val="single"/>
        </w:rPr>
      </w:pPr>
    </w:p>
    <w:p w14:paraId="195E5117" w14:textId="77777777" w:rsidR="00DC5024" w:rsidRPr="009B6A49" w:rsidRDefault="00DC5024">
      <w:pPr>
        <w:rPr>
          <w:rFonts w:asciiTheme="minorHAnsi" w:hAnsiTheme="minorHAnsi"/>
          <w:sz w:val="22"/>
          <w:szCs w:val="22"/>
          <w:u w:val="single"/>
        </w:rPr>
      </w:pPr>
    </w:p>
    <w:p w14:paraId="5259A3EA" w14:textId="77777777" w:rsidR="00DC5024" w:rsidRPr="009B6A49" w:rsidRDefault="00DC5024">
      <w:pPr>
        <w:rPr>
          <w:rFonts w:asciiTheme="minorHAnsi" w:hAnsiTheme="minorHAnsi"/>
          <w:b/>
          <w:sz w:val="22"/>
          <w:szCs w:val="22"/>
          <w:u w:val="single"/>
        </w:rPr>
      </w:pPr>
      <w:r w:rsidRPr="009B6A49">
        <w:rPr>
          <w:rFonts w:asciiTheme="minorHAnsi" w:hAnsiTheme="minorHAnsi"/>
          <w:b/>
          <w:sz w:val="22"/>
          <w:szCs w:val="22"/>
          <w:u w:val="single"/>
        </w:rPr>
        <w:t>Preparing for the Exam</w:t>
      </w:r>
    </w:p>
    <w:p w14:paraId="53F22990" w14:textId="77777777" w:rsidR="00DC5024" w:rsidRPr="009B6A49" w:rsidRDefault="00DC5024">
      <w:pPr>
        <w:rPr>
          <w:rFonts w:asciiTheme="minorHAnsi" w:hAnsiTheme="minorHAnsi"/>
          <w:sz w:val="22"/>
          <w:szCs w:val="22"/>
        </w:rPr>
      </w:pPr>
    </w:p>
    <w:p w14:paraId="0C316630" w14:textId="77777777" w:rsidR="00DC5024" w:rsidRPr="009B6A49" w:rsidRDefault="00DC5024">
      <w:pPr>
        <w:rPr>
          <w:rFonts w:asciiTheme="minorHAnsi" w:hAnsiTheme="minorHAnsi"/>
          <w:sz w:val="22"/>
          <w:szCs w:val="22"/>
        </w:rPr>
      </w:pPr>
      <w:r w:rsidRPr="009B6A49">
        <w:rPr>
          <w:rFonts w:asciiTheme="minorHAnsi" w:hAnsiTheme="minorHAnsi"/>
          <w:sz w:val="22"/>
          <w:szCs w:val="22"/>
        </w:rPr>
        <w:t>NAMA is aware of two test preparation companies that will develop Series 54 materials.  These include:</w:t>
      </w:r>
    </w:p>
    <w:p w14:paraId="5E29EFFD" w14:textId="77777777" w:rsidR="00DC5024" w:rsidRPr="009B6A49" w:rsidRDefault="00DC5024">
      <w:pPr>
        <w:rPr>
          <w:rFonts w:asciiTheme="minorHAnsi" w:hAnsiTheme="minorHAnsi"/>
          <w:sz w:val="22"/>
          <w:szCs w:val="22"/>
        </w:rPr>
      </w:pPr>
    </w:p>
    <w:p w14:paraId="09E8B1BA" w14:textId="77777777" w:rsidR="00DC5024" w:rsidRPr="009B6A49" w:rsidRDefault="00DC5024">
      <w:pPr>
        <w:rPr>
          <w:rFonts w:asciiTheme="minorHAnsi" w:hAnsiTheme="minorHAnsi"/>
          <w:sz w:val="22"/>
          <w:szCs w:val="22"/>
        </w:rPr>
      </w:pPr>
      <w:r w:rsidRPr="009B6A49">
        <w:rPr>
          <w:rFonts w:asciiTheme="minorHAnsi" w:hAnsiTheme="minorHAnsi"/>
          <w:sz w:val="22"/>
          <w:szCs w:val="22"/>
        </w:rPr>
        <w:t>Solomon</w:t>
      </w:r>
      <w:r w:rsidRPr="009B6A49">
        <w:rPr>
          <w:rFonts w:asciiTheme="minorHAnsi" w:hAnsiTheme="minorHAnsi"/>
          <w:sz w:val="22"/>
          <w:szCs w:val="22"/>
        </w:rPr>
        <w:tab/>
        <w:t>https://solomonexamprep.com/pages/series54news</w:t>
      </w:r>
    </w:p>
    <w:p w14:paraId="3EF6E6DD" w14:textId="77777777" w:rsidR="00DC5024" w:rsidRPr="009B6A49" w:rsidRDefault="00DC5024">
      <w:pPr>
        <w:rPr>
          <w:rFonts w:asciiTheme="minorHAnsi" w:hAnsiTheme="minorHAnsi"/>
          <w:sz w:val="22"/>
          <w:szCs w:val="22"/>
        </w:rPr>
      </w:pPr>
      <w:r w:rsidRPr="009B6A49">
        <w:rPr>
          <w:rFonts w:asciiTheme="minorHAnsi" w:hAnsiTheme="minorHAnsi"/>
          <w:sz w:val="22"/>
          <w:szCs w:val="22"/>
        </w:rPr>
        <w:t>STC</w:t>
      </w:r>
      <w:r w:rsidRPr="009B6A49">
        <w:rPr>
          <w:rFonts w:asciiTheme="minorHAnsi" w:hAnsiTheme="minorHAnsi"/>
          <w:sz w:val="22"/>
          <w:szCs w:val="22"/>
        </w:rPr>
        <w:tab/>
      </w:r>
      <w:r w:rsidRPr="009B6A49">
        <w:rPr>
          <w:rFonts w:asciiTheme="minorHAnsi" w:hAnsiTheme="minorHAnsi"/>
          <w:sz w:val="22"/>
          <w:szCs w:val="22"/>
        </w:rPr>
        <w:tab/>
        <w:t>https://www.stcusa.com</w:t>
      </w:r>
    </w:p>
    <w:p w14:paraId="21039244" w14:textId="77777777" w:rsidR="00DC5024" w:rsidRPr="009B6A49" w:rsidRDefault="00DC5024">
      <w:pPr>
        <w:rPr>
          <w:rFonts w:asciiTheme="minorHAnsi" w:hAnsiTheme="minorHAnsi"/>
          <w:sz w:val="22"/>
          <w:szCs w:val="22"/>
        </w:rPr>
      </w:pPr>
    </w:p>
    <w:p w14:paraId="210EF659" w14:textId="77777777" w:rsidR="00DC5024" w:rsidRPr="009B6A49" w:rsidRDefault="00DC5024">
      <w:pPr>
        <w:rPr>
          <w:rFonts w:asciiTheme="minorHAnsi" w:hAnsiTheme="minorHAnsi"/>
          <w:b/>
          <w:sz w:val="22"/>
          <w:szCs w:val="22"/>
          <w:u w:val="single"/>
        </w:rPr>
      </w:pPr>
      <w:r w:rsidRPr="009B6A49">
        <w:rPr>
          <w:rFonts w:asciiTheme="minorHAnsi" w:hAnsiTheme="minorHAnsi"/>
          <w:b/>
          <w:sz w:val="22"/>
          <w:szCs w:val="22"/>
          <w:u w:val="single"/>
        </w:rPr>
        <w:t>Pilot vs Permanent Exam</w:t>
      </w:r>
    </w:p>
    <w:p w14:paraId="560D7E49" w14:textId="77777777" w:rsidR="00DC5024" w:rsidRPr="009B6A49" w:rsidRDefault="00DC5024">
      <w:pPr>
        <w:rPr>
          <w:rFonts w:asciiTheme="minorHAnsi" w:hAnsiTheme="minorHAnsi"/>
          <w:sz w:val="22"/>
          <w:szCs w:val="22"/>
        </w:rPr>
      </w:pPr>
    </w:p>
    <w:p w14:paraId="5EB29B12" w14:textId="77777777" w:rsidR="00DC5024" w:rsidRPr="009B6A49" w:rsidRDefault="00DC5024">
      <w:pPr>
        <w:rPr>
          <w:rFonts w:asciiTheme="minorHAnsi" w:hAnsiTheme="minorHAnsi"/>
          <w:sz w:val="22"/>
          <w:szCs w:val="22"/>
        </w:rPr>
      </w:pPr>
      <w:r w:rsidRPr="009B6A49">
        <w:rPr>
          <w:rFonts w:asciiTheme="minorHAnsi" w:hAnsiTheme="minorHAnsi"/>
          <w:sz w:val="22"/>
          <w:szCs w:val="22"/>
        </w:rPr>
        <w:t>The MSRB is offering a pilot exam for a short time to identify the passing score for the permanent Series 54 exam.  Individuals who take and pass the pilot exam, will not need to take the permanent Series 54 exam.</w:t>
      </w:r>
      <w:r w:rsidRPr="009B6A49">
        <w:rPr>
          <w:rStyle w:val="EndnoteReference"/>
          <w:rFonts w:asciiTheme="minorHAnsi" w:hAnsiTheme="minorHAnsi"/>
          <w:sz w:val="22"/>
          <w:szCs w:val="22"/>
        </w:rPr>
        <w:endnoteReference w:id="2"/>
      </w:r>
      <w:r w:rsidRPr="009B6A49">
        <w:rPr>
          <w:rFonts w:asciiTheme="minorHAnsi" w:hAnsiTheme="minorHAnsi"/>
          <w:sz w:val="22"/>
          <w:szCs w:val="22"/>
        </w:rPr>
        <w:t xml:space="preserve">  The permanent exam will be in place starting in the Fall of 2019.  The permanent Series 54 exam will continually be enhanced over time to include new MSRB rules as they become effective.</w:t>
      </w:r>
    </w:p>
    <w:p w14:paraId="04F3F89B" w14:textId="77777777" w:rsidR="00DC5024" w:rsidRPr="009B6A49" w:rsidRDefault="00DC5024">
      <w:pPr>
        <w:rPr>
          <w:rFonts w:asciiTheme="minorHAnsi" w:hAnsiTheme="minorHAnsi"/>
          <w:sz w:val="22"/>
          <w:szCs w:val="22"/>
        </w:rPr>
      </w:pPr>
    </w:p>
    <w:sectPr w:rsidR="00DC5024" w:rsidRPr="009B6A49" w:rsidSect="00752AD0">
      <w:footerReference w:type="default" r:id="rId12"/>
      <w:headerReference w:type="first" r:id="rId13"/>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A48D8" w14:textId="77777777" w:rsidR="00D11655" w:rsidRDefault="00D11655" w:rsidP="00DC5024">
      <w:r>
        <w:separator/>
      </w:r>
    </w:p>
  </w:endnote>
  <w:endnote w:type="continuationSeparator" w:id="0">
    <w:p w14:paraId="2666ADCA" w14:textId="77777777" w:rsidR="00D11655" w:rsidRDefault="00D11655" w:rsidP="00DC5024">
      <w:r>
        <w:continuationSeparator/>
      </w:r>
    </w:p>
  </w:endnote>
  <w:endnote w:id="1">
    <w:p w14:paraId="2340FD15" w14:textId="77777777" w:rsidR="00DC5024" w:rsidRPr="00DC5024" w:rsidRDefault="00DC5024">
      <w:pPr>
        <w:pStyle w:val="EndnoteText"/>
        <w:rPr>
          <w:sz w:val="20"/>
          <w:szCs w:val="20"/>
        </w:rPr>
      </w:pPr>
      <w:r w:rsidRPr="00DC5024">
        <w:rPr>
          <w:rStyle w:val="EndnoteReference"/>
          <w:sz w:val="20"/>
          <w:szCs w:val="20"/>
        </w:rPr>
        <w:endnoteRef/>
      </w:r>
      <w:r w:rsidRPr="00DC5024">
        <w:rPr>
          <w:sz w:val="20"/>
          <w:szCs w:val="20"/>
        </w:rPr>
        <w:t xml:space="preserve"> If a Series 54 holder is not associated with a firm for more than 2 years, they must retake the exam.  See MSRB Notice 2018-30</w:t>
      </w:r>
    </w:p>
  </w:endnote>
  <w:endnote w:id="2">
    <w:p w14:paraId="0F39DC1C" w14:textId="1B68D741" w:rsidR="00DC5024" w:rsidRDefault="00DC5024" w:rsidP="00DC5024">
      <w:pPr>
        <w:pStyle w:val="EndnoteText"/>
        <w:rPr>
          <w:sz w:val="20"/>
          <w:szCs w:val="20"/>
        </w:rPr>
      </w:pPr>
      <w:r w:rsidRPr="00DC5024">
        <w:rPr>
          <w:rStyle w:val="EndnoteReference"/>
          <w:sz w:val="20"/>
          <w:szCs w:val="20"/>
        </w:rPr>
        <w:endnoteRef/>
      </w:r>
      <w:r w:rsidRPr="00DC5024">
        <w:rPr>
          <w:sz w:val="20"/>
          <w:szCs w:val="20"/>
        </w:rPr>
        <w:t xml:space="preserve"> See </w:t>
      </w:r>
      <w:hyperlink r:id="rId1" w:history="1">
        <w:r w:rsidRPr="00052778">
          <w:rPr>
            <w:rStyle w:val="Hyperlink"/>
            <w:sz w:val="20"/>
            <w:szCs w:val="20"/>
          </w:rPr>
          <w:t>MSRB Notice 2018-30</w:t>
        </w:r>
      </w:hyperlink>
    </w:p>
    <w:p w14:paraId="39BDCA9B" w14:textId="77777777" w:rsidR="00DC5024" w:rsidRDefault="00DC5024" w:rsidP="00DC5024">
      <w:pPr>
        <w:pStyle w:val="EndnoteText"/>
        <w:rPr>
          <w:sz w:val="20"/>
          <w:szCs w:val="20"/>
        </w:rPr>
      </w:pPr>
    </w:p>
    <w:p w14:paraId="41126B22" w14:textId="77777777" w:rsidR="00DC5024" w:rsidRPr="00DC5024" w:rsidRDefault="00DC5024" w:rsidP="00DC5024">
      <w:pPr>
        <w:pStyle w:val="EndnoteText"/>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5CDD5" w14:textId="77777777" w:rsidR="00DC5024" w:rsidRPr="00DC5024" w:rsidRDefault="00DC5024" w:rsidP="00DC5024">
    <w:pPr>
      <w:pStyle w:val="Footer"/>
      <w:jc w:val="center"/>
      <w:rPr>
        <w:color w:val="002060"/>
        <w:sz w:val="28"/>
        <w:szCs w:val="28"/>
      </w:rPr>
    </w:pPr>
    <w:r w:rsidRPr="00DC5024">
      <w:rPr>
        <w:color w:val="002060"/>
        <w:sz w:val="28"/>
        <w:szCs w:val="28"/>
      </w:rPr>
      <w:t>National Association of Municipal Advisors</w:t>
    </w:r>
  </w:p>
  <w:p w14:paraId="57B655AB" w14:textId="77777777" w:rsidR="00DC5024" w:rsidRPr="00DC5024" w:rsidRDefault="00DC5024" w:rsidP="00DC5024">
    <w:pPr>
      <w:pStyle w:val="Footer"/>
      <w:jc w:val="center"/>
      <w:rPr>
        <w:color w:val="002060"/>
        <w:sz w:val="28"/>
        <w:szCs w:val="28"/>
      </w:rPr>
    </w:pPr>
    <w:r w:rsidRPr="00DC5024">
      <w:rPr>
        <w:color w:val="002060"/>
        <w:sz w:val="28"/>
        <w:szCs w:val="28"/>
      </w:rPr>
      <w:t>www.municipaladvisors.org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CB840" w14:textId="77777777" w:rsidR="00D11655" w:rsidRDefault="00D11655" w:rsidP="00DC5024">
      <w:r>
        <w:separator/>
      </w:r>
    </w:p>
  </w:footnote>
  <w:footnote w:type="continuationSeparator" w:id="0">
    <w:p w14:paraId="5D8E7107" w14:textId="77777777" w:rsidR="00D11655" w:rsidRDefault="00D11655" w:rsidP="00DC50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A369F" w14:textId="77777777" w:rsidR="00DC5024" w:rsidRDefault="00DC5024" w:rsidP="00DC5024">
    <w:pPr>
      <w:pStyle w:val="Header"/>
      <w:jc w:val="center"/>
    </w:pPr>
    <w:r w:rsidRPr="009A2DA2">
      <w:rPr>
        <w:b/>
        <w:noProof/>
      </w:rPr>
      <w:drawing>
        <wp:inline distT="0" distB="0" distL="0" distR="0" wp14:anchorId="062FBCD1" wp14:editId="706B5E10">
          <wp:extent cx="2226945" cy="8890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6945" cy="8890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674E0"/>
    <w:multiLevelType w:val="hybridMultilevel"/>
    <w:tmpl w:val="A2FE5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4CC7C1C"/>
    <w:multiLevelType w:val="hybridMultilevel"/>
    <w:tmpl w:val="E12E2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24"/>
    <w:rsid w:val="000375DB"/>
    <w:rsid w:val="00052778"/>
    <w:rsid w:val="001E1CAC"/>
    <w:rsid w:val="00283986"/>
    <w:rsid w:val="003B40A4"/>
    <w:rsid w:val="004D2909"/>
    <w:rsid w:val="0067669A"/>
    <w:rsid w:val="00752AD0"/>
    <w:rsid w:val="00762839"/>
    <w:rsid w:val="00776C58"/>
    <w:rsid w:val="00861B30"/>
    <w:rsid w:val="008C0F59"/>
    <w:rsid w:val="00964174"/>
    <w:rsid w:val="009B6A49"/>
    <w:rsid w:val="00B0510E"/>
    <w:rsid w:val="00B90A2D"/>
    <w:rsid w:val="00BA44E4"/>
    <w:rsid w:val="00BD768C"/>
    <w:rsid w:val="00C04C6C"/>
    <w:rsid w:val="00CB0258"/>
    <w:rsid w:val="00D11655"/>
    <w:rsid w:val="00D13723"/>
    <w:rsid w:val="00DC1F9E"/>
    <w:rsid w:val="00DC5024"/>
    <w:rsid w:val="00E57E3E"/>
    <w:rsid w:val="00E8493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1C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6A49"/>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24"/>
    <w:pPr>
      <w:ind w:left="720"/>
      <w:contextualSpacing/>
    </w:pPr>
    <w:rPr>
      <w:rFonts w:asciiTheme="minorHAnsi" w:hAnsiTheme="minorHAnsi" w:cstheme="minorBidi"/>
    </w:rPr>
  </w:style>
  <w:style w:type="paragraph" w:styleId="EndnoteText">
    <w:name w:val="endnote text"/>
    <w:basedOn w:val="Normal"/>
    <w:link w:val="EndnoteTextChar"/>
    <w:uiPriority w:val="99"/>
    <w:unhideWhenUsed/>
    <w:rsid w:val="00DC5024"/>
    <w:rPr>
      <w:rFonts w:asciiTheme="minorHAnsi" w:hAnsiTheme="minorHAnsi" w:cstheme="minorBidi"/>
    </w:rPr>
  </w:style>
  <w:style w:type="character" w:customStyle="1" w:styleId="EndnoteTextChar">
    <w:name w:val="Endnote Text Char"/>
    <w:basedOn w:val="DefaultParagraphFont"/>
    <w:link w:val="EndnoteText"/>
    <w:uiPriority w:val="99"/>
    <w:rsid w:val="00DC5024"/>
  </w:style>
  <w:style w:type="character" w:styleId="EndnoteReference">
    <w:name w:val="endnote reference"/>
    <w:basedOn w:val="DefaultParagraphFont"/>
    <w:uiPriority w:val="99"/>
    <w:unhideWhenUsed/>
    <w:rsid w:val="00DC5024"/>
    <w:rPr>
      <w:vertAlign w:val="superscript"/>
    </w:rPr>
  </w:style>
  <w:style w:type="paragraph" w:styleId="Header">
    <w:name w:val="header"/>
    <w:basedOn w:val="Normal"/>
    <w:link w:val="HeaderChar"/>
    <w:uiPriority w:val="99"/>
    <w:unhideWhenUsed/>
    <w:rsid w:val="00DC502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C5024"/>
  </w:style>
  <w:style w:type="paragraph" w:styleId="Footer">
    <w:name w:val="footer"/>
    <w:basedOn w:val="Normal"/>
    <w:link w:val="FooterChar"/>
    <w:uiPriority w:val="99"/>
    <w:unhideWhenUsed/>
    <w:rsid w:val="00DC502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DC5024"/>
  </w:style>
  <w:style w:type="character" w:styleId="Hyperlink">
    <w:name w:val="Hyperlink"/>
    <w:basedOn w:val="DefaultParagraphFont"/>
    <w:uiPriority w:val="99"/>
    <w:unhideWhenUsed/>
    <w:rsid w:val="001E1C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768172">
      <w:bodyDiv w:val="1"/>
      <w:marLeft w:val="0"/>
      <w:marRight w:val="0"/>
      <w:marTop w:val="0"/>
      <w:marBottom w:val="0"/>
      <w:divBdr>
        <w:top w:val="none" w:sz="0" w:space="0" w:color="auto"/>
        <w:left w:val="none" w:sz="0" w:space="0" w:color="auto"/>
        <w:bottom w:val="none" w:sz="0" w:space="0" w:color="auto"/>
        <w:right w:val="none" w:sz="0" w:space="0" w:color="auto"/>
      </w:divBdr>
    </w:div>
    <w:div w:id="746346466">
      <w:bodyDiv w:val="1"/>
      <w:marLeft w:val="0"/>
      <w:marRight w:val="0"/>
      <w:marTop w:val="0"/>
      <w:marBottom w:val="0"/>
      <w:divBdr>
        <w:top w:val="none" w:sz="0" w:space="0" w:color="auto"/>
        <w:left w:val="none" w:sz="0" w:space="0" w:color="auto"/>
        <w:bottom w:val="none" w:sz="0" w:space="0" w:color="auto"/>
        <w:right w:val="none" w:sz="0" w:space="0" w:color="auto"/>
      </w:divBdr>
    </w:div>
    <w:div w:id="1125922950">
      <w:bodyDiv w:val="1"/>
      <w:marLeft w:val="0"/>
      <w:marRight w:val="0"/>
      <w:marTop w:val="0"/>
      <w:marBottom w:val="0"/>
      <w:divBdr>
        <w:top w:val="none" w:sz="0" w:space="0" w:color="auto"/>
        <w:left w:val="none" w:sz="0" w:space="0" w:color="auto"/>
        <w:bottom w:val="none" w:sz="0" w:space="0" w:color="auto"/>
        <w:right w:val="none" w:sz="0" w:space="0" w:color="auto"/>
      </w:divBdr>
    </w:div>
    <w:div w:id="12499691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finra.org/industry/tess-faq"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srb.org/~/media/Files/Regulatory-Notices/Announcements/2018-33.ashx??n=1" TargetMode="External"/><Relationship Id="rId9" Type="http://schemas.openxmlformats.org/officeDocument/2006/relationships/hyperlink" Target="http://msrb.org/~/media/Files/Regulatory-Notices/Announcements/2018-30.ashx??n=1" TargetMode="External"/><Relationship Id="rId10" Type="http://schemas.openxmlformats.org/officeDocument/2006/relationships/hyperlink" Target="http://www.finra.org/industry/enroll-series-exam"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msrb.org/~/media/Files/Regulatory-Notices/Announcements/2018-30.ashx??n=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B85FEF-750F-244D-893A-AC01187E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604</Words>
  <Characters>3448</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Gaffney</dc:creator>
  <cp:keywords/>
  <dc:description/>
  <cp:lastModifiedBy>Susan Gaffney</cp:lastModifiedBy>
  <cp:revision>9</cp:revision>
  <cp:lastPrinted>2018-12-20T16:54:00Z</cp:lastPrinted>
  <dcterms:created xsi:type="dcterms:W3CDTF">2018-12-04T19:07:00Z</dcterms:created>
  <dcterms:modified xsi:type="dcterms:W3CDTF">2018-12-20T21:12:00Z</dcterms:modified>
</cp:coreProperties>
</file>