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BCF0" w14:textId="77777777" w:rsidR="00DA7ABF" w:rsidRDefault="00DA7ABF" w:rsidP="00DA7A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B58D35" wp14:editId="49F707FD">
            <wp:extent cx="2223135" cy="8855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A logo-REV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10" cy="8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F59D" w14:textId="77777777" w:rsidR="00DA7ABF" w:rsidRPr="00D76EE3" w:rsidRDefault="00DA7ABF" w:rsidP="00DA7ABF">
      <w:pPr>
        <w:jc w:val="center"/>
        <w:rPr>
          <w:b/>
          <w:sz w:val="22"/>
          <w:szCs w:val="22"/>
        </w:rPr>
      </w:pPr>
    </w:p>
    <w:p w14:paraId="61746B3D" w14:textId="77777777" w:rsidR="00DA7ABF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MSRB RULE G-37</w:t>
      </w:r>
    </w:p>
    <w:p w14:paraId="4A42EFE1" w14:textId="77777777" w:rsidR="00DA7ABF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14:paraId="04F97A16" w14:textId="77777777" w:rsidR="00DA7ABF" w:rsidRPr="00D76EE3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D76EE3">
        <w:rPr>
          <w:b/>
          <w:sz w:val="22"/>
          <w:szCs w:val="22"/>
        </w:rPr>
        <w:t xml:space="preserve">THE ITEMS BELOW SERVE AS </w:t>
      </w:r>
      <w:r>
        <w:rPr>
          <w:b/>
          <w:sz w:val="22"/>
          <w:szCs w:val="22"/>
        </w:rPr>
        <w:t>A DISCUSSION</w:t>
      </w:r>
      <w:r w:rsidRPr="00D76EE3">
        <w:rPr>
          <w:b/>
          <w:sz w:val="22"/>
          <w:szCs w:val="22"/>
        </w:rPr>
        <w:t xml:space="preserve"> OF THE NON-EXHAUSTIVE LIST OF </w:t>
      </w:r>
      <w:r>
        <w:rPr>
          <w:b/>
          <w:sz w:val="22"/>
          <w:szCs w:val="22"/>
        </w:rPr>
        <w:t>ISSUES</w:t>
      </w:r>
      <w:r w:rsidRPr="00D76EE3">
        <w:rPr>
          <w:b/>
          <w:sz w:val="22"/>
          <w:szCs w:val="22"/>
        </w:rPr>
        <w:t xml:space="preserve"> RELATED TO MSRB RULE</w:t>
      </w:r>
      <w:r>
        <w:rPr>
          <w:b/>
          <w:sz w:val="22"/>
          <w:szCs w:val="22"/>
        </w:rPr>
        <w:t>S</w:t>
      </w:r>
      <w:r w:rsidRPr="00D76EE3">
        <w:rPr>
          <w:b/>
          <w:sz w:val="22"/>
          <w:szCs w:val="22"/>
        </w:rPr>
        <w:t xml:space="preserve"> G-</w:t>
      </w:r>
      <w:r>
        <w:rPr>
          <w:b/>
          <w:sz w:val="22"/>
          <w:szCs w:val="22"/>
        </w:rPr>
        <w:t>37</w:t>
      </w:r>
      <w:r w:rsidRPr="00D76EE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RECORDKEEPING RULES G-8 AND G-9, AND FORMS G-37 AND G-37X </w:t>
      </w:r>
      <w:r w:rsidRPr="00D76EE3">
        <w:rPr>
          <w:b/>
          <w:sz w:val="22"/>
          <w:szCs w:val="22"/>
        </w:rPr>
        <w:t xml:space="preserve">THAT </w:t>
      </w:r>
      <w:r>
        <w:rPr>
          <w:b/>
          <w:sz w:val="22"/>
          <w:szCs w:val="22"/>
        </w:rPr>
        <w:t xml:space="preserve">NON BROKER/DEALER AFFILIATED </w:t>
      </w:r>
      <w:r w:rsidRPr="00D76EE3">
        <w:rPr>
          <w:b/>
          <w:sz w:val="22"/>
          <w:szCs w:val="22"/>
        </w:rPr>
        <w:t xml:space="preserve">MAs AND MA FIRMS SHOULD CONSIDER WHEN DEVELOPING THEIR OWN POLICIES, PROCEDURES AND PRACTICES.    MAs ARE </w:t>
      </w:r>
      <w:r>
        <w:rPr>
          <w:b/>
          <w:sz w:val="22"/>
          <w:szCs w:val="22"/>
        </w:rPr>
        <w:t xml:space="preserve">STRONGLY </w:t>
      </w:r>
      <w:r w:rsidRPr="00D76EE3">
        <w:rPr>
          <w:b/>
          <w:sz w:val="22"/>
          <w:szCs w:val="22"/>
        </w:rPr>
        <w:t xml:space="preserve">ENCOURAGED TO REVIEW THE FULL RULEMAKING AND CONSULT COUNSEL IN THEIR MISSION TO DEVELOP </w:t>
      </w:r>
      <w:r>
        <w:rPr>
          <w:b/>
          <w:sz w:val="22"/>
          <w:szCs w:val="22"/>
        </w:rPr>
        <w:t xml:space="preserve">AND IMPLEMENT </w:t>
      </w:r>
      <w:r w:rsidRPr="00D76EE3">
        <w:rPr>
          <w:b/>
          <w:sz w:val="22"/>
          <w:szCs w:val="22"/>
        </w:rPr>
        <w:t>ROBUST POLICIES AND PROCEDURES.</w:t>
      </w:r>
    </w:p>
    <w:p w14:paraId="71CD4E51" w14:textId="77777777" w:rsidR="00DA7ABF" w:rsidRPr="00D76EE3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14:paraId="6C427FB2" w14:textId="77777777" w:rsidR="00DA7ABF" w:rsidRPr="00D76EE3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D76EE3">
        <w:rPr>
          <w:b/>
          <w:sz w:val="22"/>
          <w:szCs w:val="22"/>
        </w:rPr>
        <w:t xml:space="preserve">THIS DOCUMENT </w:t>
      </w:r>
      <w:r w:rsidRPr="00D76EE3">
        <w:rPr>
          <w:b/>
          <w:sz w:val="22"/>
          <w:szCs w:val="22"/>
          <w:u w:val="single"/>
        </w:rPr>
        <w:t>SHOULD NOT</w:t>
      </w:r>
      <w:r w:rsidRPr="00D76EE3">
        <w:rPr>
          <w:b/>
          <w:sz w:val="22"/>
          <w:szCs w:val="22"/>
        </w:rPr>
        <w:t xml:space="preserve"> BE VIEWED AS A SAFE HARBOR FOR COMPLIANCE OR PRACTICE PURPOSES.</w:t>
      </w:r>
    </w:p>
    <w:p w14:paraId="4E29BCAF" w14:textId="77777777" w:rsidR="00DA7ABF" w:rsidRPr="00D76EE3" w:rsidRDefault="00DA7ABF" w:rsidP="00DA7A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32386A81" w14:textId="77777777" w:rsidR="00DA7ABF" w:rsidRDefault="00DA7ABF" w:rsidP="00DA7ABF">
      <w:pPr>
        <w:rPr>
          <w:b/>
          <w:u w:val="single"/>
        </w:rPr>
      </w:pPr>
    </w:p>
    <w:p w14:paraId="395AA40A" w14:textId="77777777" w:rsidR="00DA7ABF" w:rsidRPr="0036655C" w:rsidRDefault="00DA7ABF" w:rsidP="00DA7AB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Professionals Covered in the Document</w:t>
      </w:r>
    </w:p>
    <w:p w14:paraId="6553F0EB" w14:textId="77777777" w:rsidR="00DA7ABF" w:rsidRDefault="00DA7ABF" w:rsidP="00DA7ABF">
      <w:pPr>
        <w:rPr>
          <w:sz w:val="22"/>
          <w:szCs w:val="22"/>
        </w:rPr>
      </w:pPr>
    </w:p>
    <w:p w14:paraId="604E46AE" w14:textId="77777777" w:rsidR="00DA7ABF" w:rsidRPr="006E0D7B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 xml:space="preserve">The MSRB has defined and classified various types of MA professionals and provided information related to each type in its Rule G-37. This document provides information with respect to setting policies only for </w:t>
      </w:r>
      <w:r w:rsidRPr="004A34DC">
        <w:rPr>
          <w:sz w:val="22"/>
          <w:szCs w:val="22"/>
          <w:u w:val="single"/>
        </w:rPr>
        <w:t>Municipal Advisor Representatives</w:t>
      </w:r>
      <w:r>
        <w:rPr>
          <w:sz w:val="22"/>
          <w:szCs w:val="22"/>
          <w:u w:val="single"/>
        </w:rPr>
        <w:t xml:space="preserve"> (MAs) and Municipal Advisor Principals as these are the types of professionals most common to non-dealer municipal advisory firms</w:t>
      </w:r>
      <w:r>
        <w:rPr>
          <w:sz w:val="22"/>
          <w:szCs w:val="22"/>
        </w:rPr>
        <w:t>.</w:t>
      </w:r>
    </w:p>
    <w:p w14:paraId="35FA5CD9" w14:textId="77777777" w:rsidR="00DA7ABF" w:rsidRDefault="00DA7ABF" w:rsidP="00DA7ABF">
      <w:pPr>
        <w:rPr>
          <w:sz w:val="22"/>
          <w:szCs w:val="22"/>
        </w:rPr>
      </w:pPr>
    </w:p>
    <w:p w14:paraId="60C8D04A" w14:textId="77777777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>Professionals who serve in another capacity or MA Firms that employ such professionals, including Municipal Advisor Solicitors, Municipal Advisor Supervisory Chain Person and Municipal Advisor Executive Officer, should consult Rule G-37 to understand the obligations applicable to these types of professionals.</w:t>
      </w:r>
    </w:p>
    <w:p w14:paraId="12EB9076" w14:textId="77777777" w:rsidR="00DA7ABF" w:rsidRDefault="00DA7ABF" w:rsidP="00DA7ABF">
      <w:pPr>
        <w:rPr>
          <w:sz w:val="22"/>
          <w:szCs w:val="22"/>
        </w:rPr>
      </w:pPr>
    </w:p>
    <w:p w14:paraId="7211AFB8" w14:textId="77777777" w:rsidR="00DA7ABF" w:rsidRPr="00881841" w:rsidRDefault="00DA7ABF" w:rsidP="00DA7ABF">
      <w:pPr>
        <w:rPr>
          <w:b/>
          <w:sz w:val="22"/>
          <w:szCs w:val="22"/>
          <w:u w:val="single"/>
        </w:rPr>
      </w:pPr>
      <w:r w:rsidRPr="00881841">
        <w:rPr>
          <w:b/>
          <w:sz w:val="22"/>
          <w:szCs w:val="22"/>
          <w:u w:val="single"/>
        </w:rPr>
        <w:t>General Prohibitions Enacted in Rule G-37</w:t>
      </w:r>
    </w:p>
    <w:p w14:paraId="2B8F102B" w14:textId="77777777" w:rsidR="00DA7ABF" w:rsidRDefault="00DA7ABF" w:rsidP="00DA7ABF">
      <w:pPr>
        <w:rPr>
          <w:sz w:val="22"/>
          <w:szCs w:val="22"/>
        </w:rPr>
      </w:pPr>
    </w:p>
    <w:p w14:paraId="2A6C11DF" w14:textId="7CFE6BEF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>The Rule places new standards on MAs and others to eradicate pay-to-play practices in this sector.  The Rule has applied to Broker/Dealers and Broker/Dealer MAs for many years, and as of August 17,</w:t>
      </w:r>
      <w:r w:rsidR="00EF2A4A">
        <w:rPr>
          <w:sz w:val="22"/>
          <w:szCs w:val="22"/>
        </w:rPr>
        <w:t xml:space="preserve"> 2016, has applied</w:t>
      </w:r>
      <w:r>
        <w:rPr>
          <w:sz w:val="22"/>
          <w:szCs w:val="22"/>
        </w:rPr>
        <w:t xml:space="preserve"> to Municipal Advisors.  As NAMA has repeatedly stated, MAs should avoid situations where providing a contribution – directly or indirectly – could influence their ability to obtain business.  </w:t>
      </w:r>
      <w:r>
        <w:rPr>
          <w:i/>
          <w:sz w:val="22"/>
          <w:szCs w:val="22"/>
        </w:rPr>
        <w:t>MA firms</w:t>
      </w:r>
      <w:r w:rsidRPr="008F1931">
        <w:rPr>
          <w:i/>
          <w:sz w:val="22"/>
          <w:szCs w:val="22"/>
        </w:rPr>
        <w:t xml:space="preserve"> should develop policies and practices that address numerous situations related to direct and indirect political contribution practices, approval processes, and recordkeeping and reporting standards.</w:t>
      </w:r>
    </w:p>
    <w:p w14:paraId="0EF66019" w14:textId="77777777" w:rsidR="00DA7ABF" w:rsidRDefault="00DA7ABF" w:rsidP="00DA7ABF">
      <w:pPr>
        <w:rPr>
          <w:sz w:val="22"/>
          <w:szCs w:val="22"/>
        </w:rPr>
      </w:pPr>
    </w:p>
    <w:p w14:paraId="1CD14885" w14:textId="77777777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 xml:space="preserve">A violation of Rule G-37 could lead to a </w:t>
      </w:r>
      <w:proofErr w:type="gramStart"/>
      <w:r>
        <w:rPr>
          <w:sz w:val="22"/>
          <w:szCs w:val="22"/>
        </w:rPr>
        <w:t>2 year</w:t>
      </w:r>
      <w:proofErr w:type="gramEnd"/>
      <w:r>
        <w:rPr>
          <w:sz w:val="22"/>
          <w:szCs w:val="22"/>
        </w:rPr>
        <w:t xml:space="preserve"> ban on business with a client.  Further understanding of violations and penalties should be made in conjunction with counsel.</w:t>
      </w:r>
    </w:p>
    <w:p w14:paraId="23D7DAF4" w14:textId="77777777" w:rsidR="00DA7ABF" w:rsidRDefault="00DA7ABF" w:rsidP="00DA7ABF">
      <w:pPr>
        <w:rPr>
          <w:sz w:val="22"/>
          <w:szCs w:val="22"/>
        </w:rPr>
      </w:pPr>
    </w:p>
    <w:p w14:paraId="2AF784CE" w14:textId="77777777" w:rsidR="00DA7ABF" w:rsidRPr="00385B7D" w:rsidRDefault="00DA7ABF" w:rsidP="00DA7AB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Contributions not only include direct money donations, but also event tickets benefitting a candidate and in-kind contributions. </w:t>
      </w:r>
      <w:r w:rsidRPr="00385B7D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385B7D">
        <w:rPr>
          <w:i/>
          <w:sz w:val="22"/>
          <w:szCs w:val="22"/>
        </w:rPr>
        <w:t>s should develop a policy on how to determine the monetary value of in kind contributions, and the contribution amount of any ev</w:t>
      </w:r>
      <w:r>
        <w:rPr>
          <w:i/>
          <w:sz w:val="22"/>
          <w:szCs w:val="22"/>
        </w:rPr>
        <w:t>ent ticket</w:t>
      </w:r>
      <w:r w:rsidRPr="00385B7D">
        <w:rPr>
          <w:i/>
          <w:sz w:val="22"/>
          <w:szCs w:val="22"/>
        </w:rPr>
        <w:t xml:space="preserve">.   MAs </w:t>
      </w:r>
      <w:r>
        <w:rPr>
          <w:i/>
          <w:sz w:val="22"/>
          <w:szCs w:val="22"/>
        </w:rPr>
        <w:t xml:space="preserve">and MA firms </w:t>
      </w:r>
      <w:r w:rsidRPr="00385B7D">
        <w:rPr>
          <w:i/>
          <w:sz w:val="22"/>
          <w:szCs w:val="22"/>
        </w:rPr>
        <w:t>may also wish to consult MSRB Rule G-20, ban on gifts, to ensure that any donation or contribution would not violate that rulemaking</w:t>
      </w:r>
      <w:r>
        <w:rPr>
          <w:i/>
          <w:sz w:val="22"/>
          <w:szCs w:val="22"/>
        </w:rPr>
        <w:t xml:space="preserve"> even if it is permitted under Rule G-37</w:t>
      </w:r>
      <w:r w:rsidRPr="00385B7D">
        <w:rPr>
          <w:i/>
          <w:sz w:val="22"/>
          <w:szCs w:val="22"/>
        </w:rPr>
        <w:t>.</w:t>
      </w:r>
    </w:p>
    <w:p w14:paraId="74AE9538" w14:textId="77777777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9F82FF" w14:textId="77777777" w:rsidR="00DA7ABF" w:rsidRDefault="00DA7ABF" w:rsidP="00DA7ABF">
      <w:pPr>
        <w:rPr>
          <w:sz w:val="22"/>
          <w:szCs w:val="22"/>
        </w:rPr>
      </w:pPr>
      <w:r w:rsidRPr="00CF2E0B">
        <w:rPr>
          <w:b/>
          <w:sz w:val="22"/>
          <w:szCs w:val="22"/>
        </w:rPr>
        <w:t>A key trigger in Rule G-37 is whether or not the MA can VOTE for the person benefitting from the contribution made by him/her</w:t>
      </w:r>
      <w:r>
        <w:rPr>
          <w:sz w:val="22"/>
          <w:szCs w:val="22"/>
        </w:rPr>
        <w:t xml:space="preserve">.  If the answer is yes, then in most cases the MA can contribute up to $250 without violating </w:t>
      </w:r>
      <w:r>
        <w:rPr>
          <w:sz w:val="22"/>
          <w:szCs w:val="22"/>
        </w:rPr>
        <w:lastRenderedPageBreak/>
        <w:t xml:space="preserve">the Rule and triggering a ban on business.  If the answer is no, then in most cases the MA </w:t>
      </w:r>
      <w:proofErr w:type="spellStart"/>
      <w:r>
        <w:rPr>
          <w:sz w:val="22"/>
          <w:szCs w:val="22"/>
        </w:rPr>
        <w:t>can not</w:t>
      </w:r>
      <w:proofErr w:type="spellEnd"/>
      <w:r>
        <w:rPr>
          <w:sz w:val="22"/>
          <w:szCs w:val="22"/>
        </w:rPr>
        <w:t xml:space="preserve"> contribute any amount of money, yet if a contribution is made in these circumstances, it must be reported.</w:t>
      </w:r>
    </w:p>
    <w:p w14:paraId="4A716201" w14:textId="77777777" w:rsidR="00DA7ABF" w:rsidRDefault="00DA7ABF" w:rsidP="00DA7ABF">
      <w:pPr>
        <w:rPr>
          <w:sz w:val="22"/>
          <w:szCs w:val="22"/>
        </w:rPr>
      </w:pPr>
    </w:p>
    <w:p w14:paraId="7AC99361" w14:textId="77777777" w:rsidR="00DA7ABF" w:rsidRPr="007C3A11" w:rsidRDefault="00DA7ABF" w:rsidP="00DA7ABF">
      <w:pPr>
        <w:rPr>
          <w:b/>
          <w:sz w:val="22"/>
          <w:szCs w:val="22"/>
          <w:u w:val="single"/>
        </w:rPr>
      </w:pPr>
      <w:r w:rsidRPr="007C3A11">
        <w:rPr>
          <w:b/>
          <w:sz w:val="22"/>
          <w:szCs w:val="22"/>
          <w:u w:val="single"/>
        </w:rPr>
        <w:t>Specific Issues</w:t>
      </w:r>
      <w:r>
        <w:rPr>
          <w:b/>
          <w:sz w:val="22"/>
          <w:szCs w:val="22"/>
          <w:u w:val="single"/>
        </w:rPr>
        <w:t xml:space="preserve"> Snapshot</w:t>
      </w:r>
    </w:p>
    <w:p w14:paraId="2227FA55" w14:textId="77777777" w:rsidR="00DA7ABF" w:rsidRDefault="00DA7ABF" w:rsidP="00DA7ABF">
      <w:pPr>
        <w:rPr>
          <w:sz w:val="22"/>
          <w:szCs w:val="22"/>
        </w:rPr>
      </w:pPr>
    </w:p>
    <w:p w14:paraId="72BB5FB9" w14:textId="77777777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 xml:space="preserve">Below is a summary of some of the components of the Rule. </w:t>
      </w:r>
      <w:r w:rsidRPr="008F1931">
        <w:rPr>
          <w:i/>
          <w:sz w:val="22"/>
          <w:szCs w:val="22"/>
        </w:rPr>
        <w:t>The scenarios outlined below should be used as a starting point for the development of policies and procedures.</w:t>
      </w:r>
      <w:r>
        <w:rPr>
          <w:sz w:val="22"/>
          <w:szCs w:val="22"/>
        </w:rPr>
        <w:t xml:space="preserve">  Again, it is recommended that you consult counsel in gaining a full understanding of the Rule and its implications for your practice.  </w:t>
      </w:r>
    </w:p>
    <w:p w14:paraId="19543C0A" w14:textId="77777777" w:rsidR="00DA7ABF" w:rsidRDefault="00DA7ABF" w:rsidP="00DA7ABF">
      <w:pPr>
        <w:rPr>
          <w:sz w:val="22"/>
          <w:szCs w:val="22"/>
        </w:rPr>
      </w:pPr>
    </w:p>
    <w:p w14:paraId="4F8FFA9D" w14:textId="4C3FD16F" w:rsidR="00DA7ABF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Contributions to Candidates</w:t>
      </w:r>
      <w:r w:rsidR="00786720">
        <w:rPr>
          <w:i/>
          <w:sz w:val="22"/>
          <w:szCs w:val="22"/>
        </w:rPr>
        <w:t>:</w:t>
      </w:r>
    </w:p>
    <w:p w14:paraId="618E2E9A" w14:textId="77777777" w:rsidR="00DA7ABF" w:rsidRDefault="00DA7ABF" w:rsidP="00DA7ABF">
      <w:pPr>
        <w:rPr>
          <w:i/>
          <w:sz w:val="22"/>
          <w:szCs w:val="22"/>
        </w:rPr>
      </w:pPr>
    </w:p>
    <w:p w14:paraId="269EB46C" w14:textId="77777777" w:rsidR="00DA7ABF" w:rsidRPr="00037DC4" w:rsidRDefault="00DA7ABF" w:rsidP="00DA7AB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If the </w:t>
      </w:r>
      <w:r w:rsidRPr="00A13155">
        <w:rPr>
          <w:b/>
          <w:sz w:val="22"/>
          <w:szCs w:val="22"/>
          <w:u w:val="single"/>
        </w:rPr>
        <w:t>MA CAN VOTE</w:t>
      </w:r>
      <w:r>
        <w:rPr>
          <w:sz w:val="22"/>
          <w:szCs w:val="22"/>
        </w:rPr>
        <w:t xml:space="preserve"> for the candidate, then the MA can contribute (directly or indirectly) up to $250 (per election for specific candidate) without violating Rule G-37 and triggering a ban on business.  </w:t>
      </w:r>
      <w:r w:rsidRPr="00037DC4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037DC4">
        <w:rPr>
          <w:i/>
          <w:sz w:val="22"/>
          <w:szCs w:val="22"/>
        </w:rPr>
        <w:t xml:space="preserve">s should develop policies and procedures for </w:t>
      </w:r>
      <w:r>
        <w:rPr>
          <w:i/>
          <w:sz w:val="22"/>
          <w:szCs w:val="22"/>
        </w:rPr>
        <w:t>all types of possible contribution scenarios and</w:t>
      </w:r>
      <w:r w:rsidRPr="00037DC4">
        <w:rPr>
          <w:i/>
          <w:sz w:val="22"/>
          <w:szCs w:val="22"/>
        </w:rPr>
        <w:t xml:space="preserve"> for determining if a c</w:t>
      </w:r>
      <w:r>
        <w:rPr>
          <w:i/>
          <w:sz w:val="22"/>
          <w:szCs w:val="22"/>
        </w:rPr>
        <w:t>ontribution is acceptable or not</w:t>
      </w:r>
      <w:r w:rsidRPr="00037DC4">
        <w:rPr>
          <w:i/>
          <w:sz w:val="22"/>
          <w:szCs w:val="22"/>
        </w:rPr>
        <w:t>.</w:t>
      </w:r>
    </w:p>
    <w:p w14:paraId="317C4AFB" w14:textId="77777777" w:rsidR="00DA7ABF" w:rsidRDefault="00DA7ABF" w:rsidP="00DA7ABF">
      <w:pPr>
        <w:rPr>
          <w:sz w:val="22"/>
          <w:szCs w:val="22"/>
        </w:rPr>
      </w:pPr>
    </w:p>
    <w:p w14:paraId="08555E6C" w14:textId="77777777" w:rsidR="00DA7ABF" w:rsidRDefault="00DA7ABF" w:rsidP="00DA7AB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If the </w:t>
      </w:r>
      <w:r w:rsidRPr="00A13155">
        <w:rPr>
          <w:b/>
          <w:sz w:val="22"/>
          <w:szCs w:val="22"/>
          <w:u w:val="single"/>
        </w:rPr>
        <w:t>MA CAN NOT VOTE</w:t>
      </w:r>
      <w:r>
        <w:rPr>
          <w:sz w:val="22"/>
          <w:szCs w:val="22"/>
        </w:rPr>
        <w:t xml:space="preserve"> for the candidate, then no contribution can be made without violating Rule G-37, and triggering a ban on business.  Any contribution under this scenario must be reported to the MSRB.  </w:t>
      </w:r>
      <w:r w:rsidRPr="00037DC4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037DC4">
        <w:rPr>
          <w:i/>
          <w:sz w:val="22"/>
          <w:szCs w:val="22"/>
        </w:rPr>
        <w:t xml:space="preserve">s should develop policies and procedures for </w:t>
      </w:r>
      <w:r>
        <w:rPr>
          <w:i/>
          <w:sz w:val="22"/>
          <w:szCs w:val="22"/>
        </w:rPr>
        <w:t>all types of possible contribution scenarios and</w:t>
      </w:r>
      <w:r w:rsidRPr="00037DC4">
        <w:rPr>
          <w:i/>
          <w:sz w:val="22"/>
          <w:szCs w:val="22"/>
        </w:rPr>
        <w:t xml:space="preserve"> for determining if a c</w:t>
      </w:r>
      <w:r>
        <w:rPr>
          <w:i/>
          <w:sz w:val="22"/>
          <w:szCs w:val="22"/>
        </w:rPr>
        <w:t>ontribution is acceptable or not, and how to record and report a contribution that violates the Rule.</w:t>
      </w:r>
    </w:p>
    <w:p w14:paraId="4E14038A" w14:textId="77777777" w:rsidR="00DA7ABF" w:rsidRDefault="00DA7ABF" w:rsidP="00DA7ABF">
      <w:pPr>
        <w:rPr>
          <w:i/>
          <w:sz w:val="22"/>
          <w:szCs w:val="22"/>
        </w:rPr>
      </w:pPr>
    </w:p>
    <w:p w14:paraId="55CFF92A" w14:textId="0D8BEE40" w:rsidR="00DA7ABF" w:rsidRPr="000A5DB2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Firm Run PAC</w:t>
      </w:r>
      <w:r w:rsidR="00786720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A PAC established and run by an MA Firm should carefully consider how to abide by Rule G-37.  </w:t>
      </w:r>
      <w:r w:rsidRPr="000A5DB2">
        <w:rPr>
          <w:i/>
          <w:sz w:val="22"/>
          <w:szCs w:val="22"/>
        </w:rPr>
        <w:t xml:space="preserve">MA Firms running a PAC should ensure </w:t>
      </w:r>
      <w:r>
        <w:rPr>
          <w:i/>
          <w:sz w:val="22"/>
          <w:szCs w:val="22"/>
        </w:rPr>
        <w:t xml:space="preserve">through policies and procedures </w:t>
      </w:r>
      <w:r w:rsidRPr="000A5DB2">
        <w:rPr>
          <w:i/>
          <w:sz w:val="22"/>
          <w:szCs w:val="22"/>
        </w:rPr>
        <w:t>that funds from the PAC do not exceed the $250 amount where applicab</w:t>
      </w:r>
      <w:r>
        <w:rPr>
          <w:i/>
          <w:sz w:val="22"/>
          <w:szCs w:val="22"/>
        </w:rPr>
        <w:t xml:space="preserve">le, and in other situations </w:t>
      </w:r>
      <w:r w:rsidRPr="000A5DB2">
        <w:rPr>
          <w:i/>
          <w:sz w:val="22"/>
          <w:szCs w:val="22"/>
        </w:rPr>
        <w:t xml:space="preserve">contributions are avoided </w:t>
      </w:r>
      <w:r>
        <w:rPr>
          <w:i/>
          <w:sz w:val="22"/>
          <w:szCs w:val="22"/>
        </w:rPr>
        <w:t>altogether.  Policies and procedures should also have provisions for contributions to federal candidates</w:t>
      </w:r>
      <w:r w:rsidRPr="000A5DB2">
        <w:rPr>
          <w:i/>
          <w:sz w:val="22"/>
          <w:szCs w:val="22"/>
        </w:rPr>
        <w:t>.</w:t>
      </w:r>
    </w:p>
    <w:p w14:paraId="7A71A4F3" w14:textId="77777777" w:rsidR="00DA7ABF" w:rsidRDefault="00DA7ABF" w:rsidP="00DA7ABF">
      <w:pPr>
        <w:rPr>
          <w:i/>
          <w:sz w:val="22"/>
          <w:szCs w:val="22"/>
        </w:rPr>
      </w:pPr>
    </w:p>
    <w:p w14:paraId="7039DEE8" w14:textId="00EC147C" w:rsidR="00DA7ABF" w:rsidRDefault="00DA7ABF" w:rsidP="00DA7ABF">
      <w:pPr>
        <w:rPr>
          <w:sz w:val="22"/>
          <w:szCs w:val="22"/>
        </w:rPr>
      </w:pPr>
      <w:r w:rsidRPr="00F66EAF">
        <w:rPr>
          <w:b/>
          <w:i/>
          <w:sz w:val="22"/>
          <w:szCs w:val="22"/>
        </w:rPr>
        <w:t>Contributions to Local and State Political Parties and non-Firm run PACs</w:t>
      </w:r>
      <w:r w:rsidR="00786720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MA Firms must determine whether their contributions will be directed to specific issuer candidates.  The following considerations apply if the political party or PAC will direct contributions to specific issuer candidates.  </w:t>
      </w:r>
    </w:p>
    <w:p w14:paraId="7729689B" w14:textId="77777777" w:rsidR="00DA7ABF" w:rsidRDefault="00DA7ABF" w:rsidP="00DA7ABF">
      <w:pPr>
        <w:rPr>
          <w:sz w:val="22"/>
          <w:szCs w:val="22"/>
        </w:rPr>
      </w:pPr>
    </w:p>
    <w:p w14:paraId="0A9F0C1B" w14:textId="77777777" w:rsidR="00DA7ABF" w:rsidRPr="00037DC4" w:rsidRDefault="00DA7ABF" w:rsidP="00DA7AB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If the </w:t>
      </w:r>
      <w:r w:rsidRPr="00A13155">
        <w:rPr>
          <w:b/>
          <w:sz w:val="22"/>
          <w:szCs w:val="22"/>
          <w:u w:val="single"/>
        </w:rPr>
        <w:t>MA CAN VOTE</w:t>
      </w:r>
      <w:r>
        <w:rPr>
          <w:sz w:val="22"/>
          <w:szCs w:val="22"/>
        </w:rPr>
        <w:t xml:space="preserve"> for the candidate or candidate who would benefit from a contribution, then the MA can contribute up to $250 (per year) without violating Rule G-37 and triggering a ban on business.  </w:t>
      </w:r>
      <w:r w:rsidRPr="00037DC4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037DC4">
        <w:rPr>
          <w:i/>
          <w:sz w:val="22"/>
          <w:szCs w:val="22"/>
        </w:rPr>
        <w:t xml:space="preserve">s should develop policies and procedures for </w:t>
      </w:r>
      <w:r>
        <w:rPr>
          <w:i/>
          <w:sz w:val="22"/>
          <w:szCs w:val="22"/>
        </w:rPr>
        <w:t>all types of possible contribution scenarios and</w:t>
      </w:r>
      <w:r w:rsidRPr="00037DC4">
        <w:rPr>
          <w:i/>
          <w:sz w:val="22"/>
          <w:szCs w:val="22"/>
        </w:rPr>
        <w:t xml:space="preserve"> for determining if a c</w:t>
      </w:r>
      <w:r>
        <w:rPr>
          <w:i/>
          <w:sz w:val="22"/>
          <w:szCs w:val="22"/>
        </w:rPr>
        <w:t>ontribution is acceptable or not</w:t>
      </w:r>
      <w:r w:rsidRPr="00037DC4">
        <w:rPr>
          <w:i/>
          <w:sz w:val="22"/>
          <w:szCs w:val="22"/>
        </w:rPr>
        <w:t>.</w:t>
      </w:r>
    </w:p>
    <w:p w14:paraId="12A01CC9" w14:textId="77777777" w:rsidR="00DA7ABF" w:rsidRDefault="00DA7ABF" w:rsidP="00DA7ABF">
      <w:pPr>
        <w:rPr>
          <w:sz w:val="22"/>
          <w:szCs w:val="22"/>
        </w:rPr>
      </w:pPr>
    </w:p>
    <w:p w14:paraId="237D0E9B" w14:textId="77777777" w:rsidR="00DA7ABF" w:rsidRDefault="00DA7ABF" w:rsidP="00DA7AB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If the </w:t>
      </w:r>
      <w:r w:rsidRPr="00A13155">
        <w:rPr>
          <w:b/>
          <w:sz w:val="22"/>
          <w:szCs w:val="22"/>
          <w:u w:val="single"/>
        </w:rPr>
        <w:t>MA CAN NOT VOTE</w:t>
      </w:r>
      <w:r>
        <w:rPr>
          <w:sz w:val="22"/>
          <w:szCs w:val="22"/>
        </w:rPr>
        <w:t xml:space="preserve"> for the candidate, then no contribution can be made without violating Rule G-37, and triggering a ban on business.  Any contribution under this scenario must be reported to the MSRB.  </w:t>
      </w:r>
      <w:r w:rsidRPr="00037DC4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037DC4">
        <w:rPr>
          <w:i/>
          <w:sz w:val="22"/>
          <w:szCs w:val="22"/>
        </w:rPr>
        <w:t xml:space="preserve">s should develop policies and procedures for </w:t>
      </w:r>
      <w:r>
        <w:rPr>
          <w:i/>
          <w:sz w:val="22"/>
          <w:szCs w:val="22"/>
        </w:rPr>
        <w:t>all types of possible contribution scenarios and</w:t>
      </w:r>
      <w:r w:rsidRPr="00037DC4">
        <w:rPr>
          <w:i/>
          <w:sz w:val="22"/>
          <w:szCs w:val="22"/>
        </w:rPr>
        <w:t xml:space="preserve"> for determining if a c</w:t>
      </w:r>
      <w:r>
        <w:rPr>
          <w:i/>
          <w:sz w:val="22"/>
          <w:szCs w:val="22"/>
        </w:rPr>
        <w:t>ontribution is acceptable or not, and how to record and report a contribution that violates the Rule.</w:t>
      </w:r>
    </w:p>
    <w:p w14:paraId="0FA62402" w14:textId="77777777" w:rsidR="00DA7ABF" w:rsidRDefault="00DA7ABF" w:rsidP="00DA7ABF">
      <w:pPr>
        <w:rPr>
          <w:sz w:val="22"/>
          <w:szCs w:val="22"/>
        </w:rPr>
      </w:pPr>
    </w:p>
    <w:p w14:paraId="73C01014" w14:textId="77777777" w:rsidR="00DA7ABF" w:rsidRDefault="00DA7ABF" w:rsidP="00DA7ABF">
      <w:pPr>
        <w:rPr>
          <w:sz w:val="22"/>
          <w:szCs w:val="22"/>
        </w:rPr>
      </w:pPr>
      <w:r>
        <w:rPr>
          <w:sz w:val="22"/>
          <w:szCs w:val="22"/>
        </w:rPr>
        <w:t xml:space="preserve">Contributions to local and state political parties must generally be reported to the MSRB.  </w:t>
      </w:r>
    </w:p>
    <w:p w14:paraId="2A35C7AD" w14:textId="77777777" w:rsidR="00DA7ABF" w:rsidRPr="00397026" w:rsidRDefault="00DA7ABF" w:rsidP="00DA7ABF">
      <w:pPr>
        <w:rPr>
          <w:sz w:val="22"/>
          <w:szCs w:val="22"/>
        </w:rPr>
      </w:pPr>
    </w:p>
    <w:p w14:paraId="6A7DDDE5" w14:textId="43D8C568" w:rsidR="00DA7ABF" w:rsidRPr="00331B80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Federal Political Parties</w:t>
      </w:r>
      <w:r w:rsidR="00786720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If there is interest in contributing to a federal/nationwide political party, the MA should inquire </w:t>
      </w:r>
      <w:proofErr w:type="gramStart"/>
      <w:r>
        <w:rPr>
          <w:sz w:val="22"/>
          <w:szCs w:val="22"/>
        </w:rPr>
        <w:t>whether or not</w:t>
      </w:r>
      <w:proofErr w:type="gramEnd"/>
      <w:r>
        <w:rPr>
          <w:sz w:val="22"/>
          <w:szCs w:val="22"/>
        </w:rPr>
        <w:t xml:space="preserve"> funds from that political party would benefit a specific candidate in their state and/or locality. </w:t>
      </w:r>
      <w:r w:rsidRPr="00331B80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331B80">
        <w:rPr>
          <w:i/>
          <w:sz w:val="22"/>
          <w:szCs w:val="22"/>
        </w:rPr>
        <w:t xml:space="preserve">s should develop policies and procedures that address possible scenarios when </w:t>
      </w:r>
      <w:r>
        <w:rPr>
          <w:i/>
          <w:sz w:val="22"/>
          <w:szCs w:val="22"/>
        </w:rPr>
        <w:t>contributions</w:t>
      </w:r>
      <w:r w:rsidRPr="00331B80">
        <w:rPr>
          <w:i/>
          <w:sz w:val="22"/>
          <w:szCs w:val="22"/>
        </w:rPr>
        <w:t xml:space="preserve"> to a nationwide PAC or political party</w:t>
      </w:r>
      <w:r>
        <w:rPr>
          <w:i/>
          <w:sz w:val="22"/>
          <w:szCs w:val="22"/>
        </w:rPr>
        <w:t xml:space="preserve"> are and are not permissible</w:t>
      </w:r>
      <w:r w:rsidRPr="00331B80">
        <w:rPr>
          <w:i/>
          <w:sz w:val="22"/>
          <w:szCs w:val="22"/>
        </w:rPr>
        <w:t>.</w:t>
      </w:r>
    </w:p>
    <w:p w14:paraId="79B6893B" w14:textId="77777777" w:rsidR="00DA7ABF" w:rsidRDefault="00DA7ABF" w:rsidP="00DA7ABF">
      <w:pPr>
        <w:rPr>
          <w:i/>
          <w:sz w:val="22"/>
          <w:szCs w:val="22"/>
        </w:rPr>
      </w:pPr>
    </w:p>
    <w:p w14:paraId="47527467" w14:textId="77777777" w:rsidR="00786720" w:rsidRDefault="00786720" w:rsidP="00DA7ABF">
      <w:pPr>
        <w:rPr>
          <w:i/>
          <w:sz w:val="22"/>
          <w:szCs w:val="22"/>
        </w:rPr>
      </w:pPr>
    </w:p>
    <w:p w14:paraId="41486E88" w14:textId="77777777" w:rsidR="00786720" w:rsidRPr="00331B80" w:rsidRDefault="00786720" w:rsidP="00DA7ABF">
      <w:pPr>
        <w:rPr>
          <w:i/>
          <w:sz w:val="22"/>
          <w:szCs w:val="22"/>
        </w:rPr>
      </w:pPr>
    </w:p>
    <w:p w14:paraId="6ABBA3FA" w14:textId="77777777" w:rsidR="00DA7ABF" w:rsidRPr="00100E64" w:rsidRDefault="00DA7ABF" w:rsidP="00DA7ABF">
      <w:pPr>
        <w:rPr>
          <w:sz w:val="22"/>
          <w:szCs w:val="22"/>
        </w:rPr>
      </w:pPr>
    </w:p>
    <w:p w14:paraId="6E0CC08B" w14:textId="0F6A4157" w:rsidR="00DA7ABF" w:rsidRDefault="00DA7ABF" w:rsidP="00DA7ABF">
      <w:pPr>
        <w:rPr>
          <w:sz w:val="22"/>
          <w:szCs w:val="22"/>
        </w:rPr>
      </w:pPr>
      <w:r w:rsidRPr="00F66EAF">
        <w:rPr>
          <w:b/>
          <w:i/>
          <w:sz w:val="22"/>
          <w:szCs w:val="22"/>
        </w:rPr>
        <w:lastRenderedPageBreak/>
        <w:t>Bond Ballot Initiatives</w:t>
      </w:r>
      <w:r w:rsidR="00786720">
        <w:rPr>
          <w:i/>
          <w:sz w:val="22"/>
          <w:szCs w:val="22"/>
        </w:rPr>
        <w:t xml:space="preserve">.  </w:t>
      </w:r>
      <w:r>
        <w:rPr>
          <w:sz w:val="22"/>
          <w:szCs w:val="22"/>
        </w:rPr>
        <w:t xml:space="preserve">Rule G-37 does not prohibit contributions to Bond Ballot campaigns.  Any such contributions must be disclosed to the MSRB except contributions up to $250 where the MA can vote.  </w:t>
      </w:r>
      <w:r w:rsidRPr="00966155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966155">
        <w:rPr>
          <w:i/>
          <w:sz w:val="22"/>
          <w:szCs w:val="22"/>
        </w:rPr>
        <w:t>s should have policies and procedures in place for bond ballot initiatives, and be aware of additional local and state laws that may apply</w:t>
      </w:r>
      <w:r>
        <w:rPr>
          <w:i/>
          <w:sz w:val="22"/>
          <w:szCs w:val="22"/>
        </w:rPr>
        <w:t xml:space="preserve"> to these types of contributions</w:t>
      </w:r>
      <w:r w:rsidRPr="00966155">
        <w:rPr>
          <w:i/>
          <w:sz w:val="22"/>
          <w:szCs w:val="22"/>
        </w:rPr>
        <w:t>.</w:t>
      </w:r>
    </w:p>
    <w:p w14:paraId="7A438722" w14:textId="77777777" w:rsidR="00DA7ABF" w:rsidRDefault="00DA7ABF" w:rsidP="00DA7ABF">
      <w:pPr>
        <w:rPr>
          <w:sz w:val="22"/>
          <w:szCs w:val="22"/>
        </w:rPr>
      </w:pPr>
    </w:p>
    <w:p w14:paraId="00CEFA0D" w14:textId="6EBB36DF" w:rsidR="00DA7ABF" w:rsidRPr="00B0654A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Inaugural Expenses</w:t>
      </w:r>
      <w:r w:rsidR="00A50C8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Donations to Inaugural events follow the same rules as if the funds were going to a candidate, PAC or political party in the general election. </w:t>
      </w:r>
      <w:r w:rsidRPr="00B0654A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B0654A">
        <w:rPr>
          <w:i/>
          <w:sz w:val="22"/>
          <w:szCs w:val="22"/>
        </w:rPr>
        <w:t>s should have policies and procedures in place related to contributions to Inaugural events.</w:t>
      </w:r>
    </w:p>
    <w:p w14:paraId="1F5B7E58" w14:textId="77777777" w:rsidR="00DA7ABF" w:rsidRDefault="00DA7ABF" w:rsidP="00DA7ABF">
      <w:pPr>
        <w:rPr>
          <w:sz w:val="22"/>
          <w:szCs w:val="22"/>
        </w:rPr>
      </w:pPr>
    </w:p>
    <w:p w14:paraId="6F12595E" w14:textId="77452A55" w:rsidR="00DA7ABF" w:rsidRDefault="00DA7ABF" w:rsidP="00DA7ABF">
      <w:pPr>
        <w:rPr>
          <w:sz w:val="22"/>
          <w:szCs w:val="22"/>
        </w:rPr>
      </w:pPr>
      <w:r w:rsidRPr="00F66EAF">
        <w:rPr>
          <w:b/>
          <w:i/>
          <w:sz w:val="22"/>
          <w:szCs w:val="22"/>
        </w:rPr>
        <w:t>Volunteer Activities</w:t>
      </w:r>
      <w:r w:rsidR="00A50C8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MAs may volunteer for campaigns during non-work hours </w:t>
      </w:r>
      <w:proofErr w:type="gramStart"/>
      <w:r>
        <w:rPr>
          <w:sz w:val="22"/>
          <w:szCs w:val="22"/>
        </w:rPr>
        <w:t>as long as</w:t>
      </w:r>
      <w:proofErr w:type="gramEnd"/>
      <w:r>
        <w:rPr>
          <w:sz w:val="22"/>
          <w:szCs w:val="22"/>
        </w:rPr>
        <w:t xml:space="preserve"> those activities do not incur expenses and are not related to fundraising activities.  </w:t>
      </w:r>
      <w:r w:rsidRPr="00C70535">
        <w:rPr>
          <w:i/>
          <w:sz w:val="22"/>
          <w:szCs w:val="22"/>
        </w:rPr>
        <w:t>MA</w:t>
      </w:r>
      <w:r>
        <w:rPr>
          <w:i/>
          <w:sz w:val="22"/>
          <w:szCs w:val="22"/>
        </w:rPr>
        <w:t xml:space="preserve"> firm</w:t>
      </w:r>
      <w:r w:rsidRPr="00C70535">
        <w:rPr>
          <w:i/>
          <w:sz w:val="22"/>
          <w:szCs w:val="22"/>
        </w:rPr>
        <w:t>s should develop policies and p</w:t>
      </w:r>
      <w:r>
        <w:rPr>
          <w:i/>
          <w:sz w:val="22"/>
          <w:szCs w:val="22"/>
        </w:rPr>
        <w:t>rocedures specifying under what</w:t>
      </w:r>
      <w:r w:rsidRPr="00C70535">
        <w:rPr>
          <w:i/>
          <w:sz w:val="22"/>
          <w:szCs w:val="22"/>
        </w:rPr>
        <w:t xml:space="preserve"> circumstances </w:t>
      </w:r>
      <w:r>
        <w:rPr>
          <w:i/>
          <w:sz w:val="22"/>
          <w:szCs w:val="22"/>
        </w:rPr>
        <w:t>MAs</w:t>
      </w:r>
      <w:r w:rsidRPr="00C70535">
        <w:rPr>
          <w:i/>
          <w:sz w:val="22"/>
          <w:szCs w:val="22"/>
        </w:rPr>
        <w:t xml:space="preserve"> may or may not volunteer for a campaign.</w:t>
      </w:r>
    </w:p>
    <w:p w14:paraId="2DFB6FD9" w14:textId="77777777" w:rsidR="00DA7ABF" w:rsidRDefault="00DA7ABF" w:rsidP="00DA7ABF">
      <w:pPr>
        <w:rPr>
          <w:sz w:val="22"/>
          <w:szCs w:val="22"/>
        </w:rPr>
      </w:pPr>
    </w:p>
    <w:p w14:paraId="0F4BDA6B" w14:textId="3C75D839" w:rsidR="00DA7ABF" w:rsidRDefault="00DA7ABF" w:rsidP="00DA7ABF">
      <w:pPr>
        <w:rPr>
          <w:sz w:val="22"/>
          <w:szCs w:val="22"/>
        </w:rPr>
      </w:pPr>
      <w:r w:rsidRPr="00F66EAF">
        <w:rPr>
          <w:b/>
          <w:i/>
          <w:sz w:val="22"/>
          <w:szCs w:val="22"/>
        </w:rPr>
        <w:t>Soliciting or Coordinating Contributions</w:t>
      </w:r>
      <w:r w:rsidR="00A50C8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MAs may not solicit for or coordinate contributions to candidates, PACs or political parties benefitting a candidate that is a client or potential client.  Such activity would violate Rule G-37.  </w:t>
      </w:r>
      <w:r>
        <w:rPr>
          <w:i/>
          <w:sz w:val="22"/>
          <w:szCs w:val="22"/>
        </w:rPr>
        <w:t xml:space="preserve">MA firms </w:t>
      </w:r>
      <w:r w:rsidRPr="00C5498E">
        <w:rPr>
          <w:i/>
          <w:sz w:val="22"/>
          <w:szCs w:val="22"/>
        </w:rPr>
        <w:t>should develop robust policies and procedures related to soliciting and coordinating contributions for candidates, PACs and political parties.</w:t>
      </w:r>
    </w:p>
    <w:p w14:paraId="6C06F384" w14:textId="77777777" w:rsidR="00DA7ABF" w:rsidRDefault="00DA7ABF" w:rsidP="00DA7ABF">
      <w:pPr>
        <w:rPr>
          <w:sz w:val="22"/>
          <w:szCs w:val="22"/>
        </w:rPr>
      </w:pPr>
    </w:p>
    <w:p w14:paraId="5F74E933" w14:textId="64FFBCC1" w:rsidR="00DA7ABF" w:rsidRPr="0066500B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Contributions to Federal Candidates</w:t>
      </w:r>
      <w:r w:rsidR="00A50C8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Generally, there are no limitations on contributions or activities related to candidates for federal office.  However, if the candidate currently serves in a local or state jurisdiction where the MA resides, then the $250/election limit will apply on the same basis as it applies to other state and local officials. </w:t>
      </w:r>
      <w:r w:rsidRPr="0066500B">
        <w:rPr>
          <w:i/>
          <w:sz w:val="22"/>
          <w:szCs w:val="22"/>
        </w:rPr>
        <w:t>MA firms should have policies for the conditions when contributions to federal candidates are and are not permissible.</w:t>
      </w:r>
    </w:p>
    <w:p w14:paraId="23232AB6" w14:textId="77777777" w:rsidR="00DA7ABF" w:rsidRDefault="00DA7ABF" w:rsidP="00DA7ABF">
      <w:pPr>
        <w:rPr>
          <w:sz w:val="22"/>
          <w:szCs w:val="22"/>
        </w:rPr>
      </w:pPr>
    </w:p>
    <w:p w14:paraId="4B2F104F" w14:textId="6AB7563F" w:rsidR="00DA7ABF" w:rsidRPr="00065D2A" w:rsidRDefault="00DA7ABF" w:rsidP="00DA7ABF">
      <w:pPr>
        <w:rPr>
          <w:i/>
          <w:sz w:val="22"/>
          <w:szCs w:val="22"/>
        </w:rPr>
      </w:pPr>
      <w:r w:rsidRPr="00F66EAF">
        <w:rPr>
          <w:b/>
          <w:i/>
          <w:sz w:val="22"/>
          <w:szCs w:val="22"/>
        </w:rPr>
        <w:t>Contributions to Charitable Organizations</w:t>
      </w:r>
      <w:r w:rsidR="00A50C8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There is no ban on making contributions or donations to charitable organizations under Rule G-37.  However, other MSRB Rulemaking (Rules G-42 and </w:t>
      </w:r>
      <w:r w:rsidR="002158F7">
        <w:rPr>
          <w:sz w:val="22"/>
          <w:szCs w:val="22"/>
        </w:rPr>
        <w:t>G-</w:t>
      </w:r>
      <w:r>
        <w:rPr>
          <w:sz w:val="22"/>
          <w:szCs w:val="22"/>
        </w:rPr>
        <w:t xml:space="preserve">20) may apply in this area.  Furthermore, MAs should avoid situations where making charitable donations could be perceived as a quid pro quo for doing business.  </w:t>
      </w:r>
      <w:r w:rsidRPr="00065D2A">
        <w:rPr>
          <w:i/>
          <w:sz w:val="22"/>
          <w:szCs w:val="22"/>
        </w:rPr>
        <w:t xml:space="preserve">MA firms should develop policies and procedures regarding when MAs may make charitable contributions, that reflects MSRB Rules G-37, </w:t>
      </w:r>
      <w:r>
        <w:rPr>
          <w:i/>
          <w:sz w:val="22"/>
          <w:szCs w:val="22"/>
        </w:rPr>
        <w:t>G-</w:t>
      </w:r>
      <w:r w:rsidRPr="00065D2A">
        <w:rPr>
          <w:i/>
          <w:sz w:val="22"/>
          <w:szCs w:val="22"/>
        </w:rPr>
        <w:t xml:space="preserve">42 and </w:t>
      </w:r>
      <w:r>
        <w:rPr>
          <w:i/>
          <w:sz w:val="22"/>
          <w:szCs w:val="22"/>
        </w:rPr>
        <w:t>G-</w:t>
      </w:r>
      <w:r w:rsidRPr="00065D2A">
        <w:rPr>
          <w:i/>
          <w:sz w:val="22"/>
          <w:szCs w:val="22"/>
        </w:rPr>
        <w:t>20.</w:t>
      </w:r>
    </w:p>
    <w:p w14:paraId="67917299" w14:textId="77777777" w:rsidR="00DA7ABF" w:rsidRDefault="00DA7ABF" w:rsidP="00DA7ABF">
      <w:pPr>
        <w:rPr>
          <w:sz w:val="22"/>
          <w:szCs w:val="22"/>
        </w:rPr>
      </w:pPr>
    </w:p>
    <w:p w14:paraId="51E657DC" w14:textId="77777777" w:rsidR="00DA7ABF" w:rsidRPr="00C52E19" w:rsidRDefault="00DA7ABF" w:rsidP="00DA7ABF">
      <w:pPr>
        <w:rPr>
          <w:b/>
          <w:sz w:val="22"/>
          <w:szCs w:val="22"/>
          <w:u w:val="single"/>
        </w:rPr>
      </w:pPr>
      <w:r w:rsidRPr="00C52E19">
        <w:rPr>
          <w:b/>
          <w:sz w:val="22"/>
          <w:szCs w:val="22"/>
          <w:u w:val="single"/>
        </w:rPr>
        <w:t>Quarterly Forms</w:t>
      </w:r>
    </w:p>
    <w:p w14:paraId="0CC56B91" w14:textId="77777777" w:rsidR="00DA7ABF" w:rsidRDefault="00DA7ABF" w:rsidP="00DA7ABF">
      <w:pPr>
        <w:rPr>
          <w:sz w:val="22"/>
          <w:szCs w:val="22"/>
          <w:u w:val="single"/>
        </w:rPr>
      </w:pPr>
    </w:p>
    <w:p w14:paraId="0CBC4896" w14:textId="7F7D6C63" w:rsidR="005B7711" w:rsidRDefault="00DA7ABF">
      <w:pPr>
        <w:rPr>
          <w:sz w:val="22"/>
          <w:szCs w:val="22"/>
        </w:rPr>
      </w:pPr>
      <w:r>
        <w:rPr>
          <w:sz w:val="22"/>
          <w:szCs w:val="22"/>
        </w:rPr>
        <w:t>MA Firms must submit quarterly information electronically to the MSRB</w:t>
      </w:r>
      <w:r w:rsidR="001C69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related to Rule G-37, and </w:t>
      </w:r>
      <w:r w:rsidRPr="008F1931">
        <w:rPr>
          <w:i/>
          <w:sz w:val="22"/>
          <w:szCs w:val="22"/>
        </w:rPr>
        <w:t xml:space="preserve">MAs </w:t>
      </w:r>
      <w:r>
        <w:rPr>
          <w:i/>
          <w:sz w:val="22"/>
          <w:szCs w:val="22"/>
        </w:rPr>
        <w:t>should ensure that they are set up in the MSRB Gateway system to submit that information well in advance of the due date</w:t>
      </w:r>
      <w:r>
        <w:rPr>
          <w:sz w:val="22"/>
          <w:szCs w:val="22"/>
        </w:rPr>
        <w:t xml:space="preserve">.  In addition to listing contributions, Form </w:t>
      </w:r>
      <w:r w:rsidR="00A50C82">
        <w:rPr>
          <w:sz w:val="22"/>
          <w:szCs w:val="22"/>
        </w:rPr>
        <w:t>G-</w:t>
      </w:r>
      <w:r>
        <w:rPr>
          <w:sz w:val="22"/>
          <w:szCs w:val="22"/>
        </w:rPr>
        <w:t xml:space="preserve">37 also calls on MA firms to include their client list each quarter.  </w:t>
      </w:r>
      <w:r w:rsidRPr="008F1931">
        <w:rPr>
          <w:i/>
          <w:sz w:val="22"/>
          <w:szCs w:val="22"/>
        </w:rPr>
        <w:t xml:space="preserve">MAs should determine how best to track and record </w:t>
      </w:r>
      <w:r>
        <w:rPr>
          <w:i/>
          <w:sz w:val="22"/>
          <w:szCs w:val="22"/>
        </w:rPr>
        <w:t xml:space="preserve">contributions and </w:t>
      </w:r>
      <w:r w:rsidRPr="008F1931">
        <w:rPr>
          <w:i/>
          <w:sz w:val="22"/>
          <w:szCs w:val="22"/>
        </w:rPr>
        <w:t>client work to ensure submissions are correct</w:t>
      </w:r>
      <w:r>
        <w:rPr>
          <w:sz w:val="22"/>
          <w:szCs w:val="22"/>
        </w:rPr>
        <w:t>.</w:t>
      </w:r>
    </w:p>
    <w:p w14:paraId="09B40150" w14:textId="59A30A8A" w:rsidR="001C69EA" w:rsidRDefault="001C69EA">
      <w:pPr>
        <w:rPr>
          <w:sz w:val="22"/>
          <w:szCs w:val="22"/>
        </w:rPr>
      </w:pPr>
    </w:p>
    <w:p w14:paraId="5ED83DFA" w14:textId="407B21F7" w:rsidR="001C69EA" w:rsidRDefault="001C69EA">
      <w:pPr>
        <w:rPr>
          <w:b/>
          <w:bCs/>
          <w:sz w:val="22"/>
          <w:szCs w:val="22"/>
        </w:rPr>
      </w:pPr>
      <w:r w:rsidRPr="001C69EA">
        <w:rPr>
          <w:b/>
          <w:bCs/>
          <w:sz w:val="22"/>
          <w:szCs w:val="22"/>
        </w:rPr>
        <w:t>Submission Dates – January 31, April 30, July 31, October 31</w:t>
      </w:r>
    </w:p>
    <w:p w14:paraId="4ED2DBC5" w14:textId="0A45E2A5" w:rsidR="001C69EA" w:rsidRDefault="001C69EA">
      <w:pPr>
        <w:rPr>
          <w:b/>
          <w:bCs/>
          <w:sz w:val="22"/>
          <w:szCs w:val="22"/>
        </w:rPr>
      </w:pPr>
    </w:p>
    <w:p w14:paraId="361491C2" w14:textId="4E2893B2" w:rsidR="001C69EA" w:rsidRDefault="001C69EA">
      <w:pPr>
        <w:rPr>
          <w:b/>
          <w:bCs/>
          <w:sz w:val="22"/>
          <w:szCs w:val="22"/>
        </w:rPr>
      </w:pPr>
    </w:p>
    <w:p w14:paraId="05B6F3CD" w14:textId="56B3B4AC" w:rsidR="001C69EA" w:rsidRDefault="001C69EA">
      <w:pPr>
        <w:rPr>
          <w:b/>
          <w:bCs/>
          <w:sz w:val="22"/>
          <w:szCs w:val="22"/>
        </w:rPr>
      </w:pPr>
    </w:p>
    <w:p w14:paraId="472702F9" w14:textId="3EA9F827" w:rsidR="001C69EA" w:rsidRDefault="001C69EA">
      <w:pPr>
        <w:rPr>
          <w:b/>
          <w:bCs/>
          <w:sz w:val="22"/>
          <w:szCs w:val="22"/>
        </w:rPr>
      </w:pPr>
    </w:p>
    <w:p w14:paraId="19A1C703" w14:textId="6E5C8592" w:rsidR="001C69EA" w:rsidRDefault="001C69EA">
      <w:pPr>
        <w:rPr>
          <w:b/>
          <w:bCs/>
          <w:sz w:val="22"/>
          <w:szCs w:val="22"/>
        </w:rPr>
      </w:pPr>
    </w:p>
    <w:p w14:paraId="6E7D16D1" w14:textId="4FE1359A" w:rsidR="001C69EA" w:rsidRDefault="001C69EA">
      <w:pPr>
        <w:rPr>
          <w:b/>
          <w:bCs/>
          <w:sz w:val="22"/>
          <w:szCs w:val="22"/>
        </w:rPr>
      </w:pPr>
    </w:p>
    <w:p w14:paraId="0DD24185" w14:textId="5628465C" w:rsidR="001C69EA" w:rsidRDefault="001C69EA">
      <w:pPr>
        <w:rPr>
          <w:b/>
          <w:bCs/>
          <w:sz w:val="22"/>
          <w:szCs w:val="22"/>
        </w:rPr>
      </w:pPr>
    </w:p>
    <w:p w14:paraId="6220165B" w14:textId="04068039" w:rsidR="001C69EA" w:rsidRDefault="001C69EA">
      <w:pPr>
        <w:rPr>
          <w:b/>
          <w:bCs/>
          <w:sz w:val="22"/>
          <w:szCs w:val="22"/>
        </w:rPr>
      </w:pPr>
    </w:p>
    <w:p w14:paraId="0871B20C" w14:textId="0CC837B3" w:rsidR="001C69EA" w:rsidRDefault="001C69EA">
      <w:pPr>
        <w:rPr>
          <w:b/>
          <w:bCs/>
          <w:sz w:val="22"/>
          <w:szCs w:val="22"/>
        </w:rPr>
      </w:pPr>
    </w:p>
    <w:p w14:paraId="780D907C" w14:textId="3B6CE9AC" w:rsidR="001C69EA" w:rsidRDefault="001C69EA">
      <w:pPr>
        <w:rPr>
          <w:b/>
          <w:bCs/>
          <w:sz w:val="22"/>
          <w:szCs w:val="22"/>
        </w:rPr>
      </w:pPr>
    </w:p>
    <w:p w14:paraId="5C4D3271" w14:textId="5F78ADCC" w:rsidR="001C69EA" w:rsidRPr="00EF69B0" w:rsidRDefault="001C69EA" w:rsidP="001C69EA">
      <w:pPr>
        <w:jc w:val="right"/>
        <w:rPr>
          <w:sz w:val="16"/>
          <w:szCs w:val="16"/>
        </w:rPr>
      </w:pPr>
      <w:r w:rsidRPr="00EF69B0">
        <w:rPr>
          <w:sz w:val="16"/>
          <w:szCs w:val="16"/>
        </w:rPr>
        <w:t>March 2022</w:t>
      </w:r>
    </w:p>
    <w:sectPr w:rsidR="001C69EA" w:rsidRPr="00EF69B0" w:rsidSect="0017515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E927" w14:textId="77777777" w:rsidR="00761639" w:rsidRDefault="00761639" w:rsidP="009E736A">
      <w:r>
        <w:separator/>
      </w:r>
    </w:p>
  </w:endnote>
  <w:endnote w:type="continuationSeparator" w:id="0">
    <w:p w14:paraId="3E9C2C77" w14:textId="77777777" w:rsidR="00761639" w:rsidRDefault="00761639" w:rsidP="009E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FAB9" w14:textId="17461A2D" w:rsidR="009E736A" w:rsidRPr="009E736A" w:rsidRDefault="009E736A" w:rsidP="009E736A">
    <w:pPr>
      <w:pStyle w:val="Footer"/>
      <w:jc w:val="center"/>
      <w:rPr>
        <w:color w:val="002060"/>
        <w:sz w:val="22"/>
        <w:szCs w:val="22"/>
      </w:rPr>
    </w:pPr>
    <w:r w:rsidRPr="009E736A">
      <w:rPr>
        <w:color w:val="002060"/>
        <w:sz w:val="22"/>
        <w:szCs w:val="22"/>
      </w:rPr>
      <w:t>National Association of Municipal Advisors</w:t>
    </w:r>
  </w:p>
  <w:p w14:paraId="6D19F12C" w14:textId="7766F4E7" w:rsidR="009E736A" w:rsidRPr="009E736A" w:rsidRDefault="009E736A" w:rsidP="009E736A">
    <w:pPr>
      <w:pStyle w:val="Footer"/>
      <w:jc w:val="center"/>
      <w:rPr>
        <w:color w:val="002060"/>
        <w:sz w:val="22"/>
        <w:szCs w:val="22"/>
      </w:rPr>
    </w:pPr>
    <w:r w:rsidRPr="009E736A">
      <w:rPr>
        <w:color w:val="002060"/>
        <w:sz w:val="22"/>
        <w:szCs w:val="22"/>
      </w:rPr>
      <w:t>www.municipaladvisors.org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6CE5" w14:textId="77777777" w:rsidR="00761639" w:rsidRDefault="00761639" w:rsidP="009E736A">
      <w:r>
        <w:separator/>
      </w:r>
    </w:p>
  </w:footnote>
  <w:footnote w:type="continuationSeparator" w:id="0">
    <w:p w14:paraId="7AC87BEF" w14:textId="77777777" w:rsidR="00761639" w:rsidRDefault="00761639" w:rsidP="009E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BF"/>
    <w:rsid w:val="001C69EA"/>
    <w:rsid w:val="002158F7"/>
    <w:rsid w:val="00283986"/>
    <w:rsid w:val="004D2909"/>
    <w:rsid w:val="0067669A"/>
    <w:rsid w:val="00761639"/>
    <w:rsid w:val="00786720"/>
    <w:rsid w:val="009E736A"/>
    <w:rsid w:val="00A50C82"/>
    <w:rsid w:val="00B90A2D"/>
    <w:rsid w:val="00BD768C"/>
    <w:rsid w:val="00C04C6C"/>
    <w:rsid w:val="00C501C9"/>
    <w:rsid w:val="00CB0258"/>
    <w:rsid w:val="00DA7ABF"/>
    <w:rsid w:val="00E56999"/>
    <w:rsid w:val="00E57E3E"/>
    <w:rsid w:val="00EB5600"/>
    <w:rsid w:val="00EF2A4A"/>
    <w:rsid w:val="00EF69B0"/>
    <w:rsid w:val="00F24D14"/>
    <w:rsid w:val="00F36777"/>
    <w:rsid w:val="00F6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1FE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7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6A"/>
  </w:style>
  <w:style w:type="paragraph" w:styleId="Footer">
    <w:name w:val="footer"/>
    <w:basedOn w:val="Normal"/>
    <w:link w:val="FooterChar"/>
    <w:uiPriority w:val="99"/>
    <w:unhideWhenUsed/>
    <w:rsid w:val="009E7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Gaffney</dc:creator>
  <cp:keywords/>
  <dc:description/>
  <cp:lastModifiedBy>Susan Gaffney</cp:lastModifiedBy>
  <cp:revision>2</cp:revision>
  <cp:lastPrinted>2017-05-01T15:39:00Z</cp:lastPrinted>
  <dcterms:created xsi:type="dcterms:W3CDTF">2022-03-31T15:19:00Z</dcterms:created>
  <dcterms:modified xsi:type="dcterms:W3CDTF">2022-03-31T15:19:00Z</dcterms:modified>
  <cp:category/>
</cp:coreProperties>
</file>